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4" w:type="dxa"/>
        <w:tblInd w:w="108" w:type="dxa"/>
        <w:tblLayout w:type="fixed"/>
        <w:tblLook w:val="04A0" w:firstRow="1" w:lastRow="0" w:firstColumn="1" w:lastColumn="0" w:noHBand="0" w:noVBand="1"/>
      </w:tblPr>
      <w:tblGrid>
        <w:gridCol w:w="10"/>
        <w:gridCol w:w="2438"/>
        <w:gridCol w:w="257"/>
        <w:gridCol w:w="6150"/>
        <w:gridCol w:w="959"/>
      </w:tblGrid>
      <w:tr w:rsidR="00CE544A" w:rsidRPr="00975B07" w14:paraId="03254392" w14:textId="77777777" w:rsidTr="008B7FAB">
        <w:trPr>
          <w:trHeight w:val="426"/>
        </w:trPr>
        <w:tc>
          <w:tcPr>
            <w:tcW w:w="2705" w:type="dxa"/>
            <w:gridSpan w:val="3"/>
            <w:shd w:val="clear" w:color="auto" w:fill="auto"/>
          </w:tcPr>
          <w:p w14:paraId="627C6DFC"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7109" w:type="dxa"/>
            <w:gridSpan w:val="2"/>
            <w:shd w:val="clear" w:color="auto" w:fill="auto"/>
          </w:tcPr>
          <w:p w14:paraId="5A943795" w14:textId="77777777" w:rsidR="00F445B1" w:rsidRPr="00F95BC9" w:rsidRDefault="00DB7AD7" w:rsidP="004A6D2F">
            <w:pPr>
              <w:rPr>
                <w:rStyle w:val="Firstpagetablebold"/>
              </w:rPr>
            </w:pPr>
            <w:r>
              <w:rPr>
                <w:rStyle w:val="Firstpagetablebold"/>
              </w:rPr>
              <w:t>Cabinet</w:t>
            </w:r>
          </w:p>
        </w:tc>
      </w:tr>
      <w:tr w:rsidR="00CE544A" w:rsidRPr="00975B07" w14:paraId="6524176D" w14:textId="77777777" w:rsidTr="008B7FAB">
        <w:trPr>
          <w:trHeight w:val="415"/>
        </w:trPr>
        <w:tc>
          <w:tcPr>
            <w:tcW w:w="2705" w:type="dxa"/>
            <w:gridSpan w:val="3"/>
            <w:shd w:val="clear" w:color="auto" w:fill="auto"/>
          </w:tcPr>
          <w:p w14:paraId="479DF5DB" w14:textId="49C7650A"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7109" w:type="dxa"/>
            <w:gridSpan w:val="2"/>
            <w:shd w:val="clear" w:color="auto" w:fill="auto"/>
          </w:tcPr>
          <w:p w14:paraId="11EDA6C9" w14:textId="573EED8B" w:rsidR="00F445B1" w:rsidRPr="001356F1" w:rsidRDefault="001A2669" w:rsidP="007B5CA2">
            <w:pPr>
              <w:rPr>
                <w:b/>
              </w:rPr>
            </w:pPr>
            <w:r>
              <w:rPr>
                <w:rStyle w:val="Firstpagetablebold"/>
              </w:rPr>
              <w:t xml:space="preserve">11 </w:t>
            </w:r>
            <w:r w:rsidR="00A44C7E">
              <w:rPr>
                <w:rStyle w:val="Firstpagetablebold"/>
              </w:rPr>
              <w:t>December</w:t>
            </w:r>
            <w:r w:rsidR="008B7FAB">
              <w:rPr>
                <w:rStyle w:val="Firstpagetablebold"/>
              </w:rPr>
              <w:t>,</w:t>
            </w:r>
            <w:r w:rsidR="00A00C5D">
              <w:rPr>
                <w:rStyle w:val="Firstpagetablebold"/>
              </w:rPr>
              <w:t xml:space="preserve"> </w:t>
            </w:r>
            <w:r w:rsidR="000D41CB">
              <w:rPr>
                <w:rStyle w:val="Firstpagetablebold"/>
              </w:rPr>
              <w:t>2024</w:t>
            </w:r>
          </w:p>
        </w:tc>
      </w:tr>
      <w:tr w:rsidR="00CE544A" w:rsidRPr="00975B07" w14:paraId="36E02D8C" w14:textId="77777777" w:rsidTr="008B7FAB">
        <w:trPr>
          <w:trHeight w:val="714"/>
        </w:trPr>
        <w:tc>
          <w:tcPr>
            <w:tcW w:w="2705" w:type="dxa"/>
            <w:gridSpan w:val="3"/>
            <w:shd w:val="clear" w:color="auto" w:fill="auto"/>
          </w:tcPr>
          <w:p w14:paraId="34A3A975"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7109" w:type="dxa"/>
            <w:gridSpan w:val="2"/>
            <w:shd w:val="clear" w:color="auto" w:fill="auto"/>
          </w:tcPr>
          <w:p w14:paraId="05A8C6D3" w14:textId="67F23295" w:rsidR="00F445B1" w:rsidRPr="001356F1" w:rsidRDefault="00A16DE1" w:rsidP="004A6D2F">
            <w:pPr>
              <w:rPr>
                <w:rStyle w:val="Firstpagetablebold"/>
              </w:rPr>
            </w:pPr>
            <w:r>
              <w:rPr>
                <w:rStyle w:val="Firstpagetablebold"/>
              </w:rPr>
              <w:t xml:space="preserve">Peter Matthew, Executive Director </w:t>
            </w:r>
            <w:r w:rsidR="00D43004">
              <w:rPr>
                <w:rStyle w:val="Firstpagetablebold"/>
              </w:rPr>
              <w:t>-</w:t>
            </w:r>
            <w:r>
              <w:rPr>
                <w:rStyle w:val="Firstpagetablebold"/>
              </w:rPr>
              <w:t xml:space="preserve"> Communities and People</w:t>
            </w:r>
            <w:r w:rsidR="00A44C7E">
              <w:rPr>
                <w:rStyle w:val="Firstpagetablebold"/>
              </w:rPr>
              <w:t xml:space="preserve"> (Interim)</w:t>
            </w:r>
          </w:p>
        </w:tc>
      </w:tr>
      <w:tr w:rsidR="00CE544A" w:rsidRPr="00975B07" w14:paraId="4FED91F5" w14:textId="77777777" w:rsidTr="008B7FAB">
        <w:trPr>
          <w:trHeight w:val="724"/>
        </w:trPr>
        <w:tc>
          <w:tcPr>
            <w:tcW w:w="2705" w:type="dxa"/>
            <w:gridSpan w:val="3"/>
            <w:shd w:val="clear" w:color="auto" w:fill="auto"/>
          </w:tcPr>
          <w:p w14:paraId="514023BB" w14:textId="77777777" w:rsidR="00F445B1" w:rsidRPr="00975B07" w:rsidRDefault="00F445B1" w:rsidP="004A6D2F">
            <w:pPr>
              <w:rPr>
                <w:rStyle w:val="Firstpagetablebold"/>
              </w:rPr>
            </w:pPr>
            <w:r w:rsidRPr="00975B07">
              <w:rPr>
                <w:rStyle w:val="Firstpagetablebold"/>
              </w:rPr>
              <w:t xml:space="preserve">Title of Report: </w:t>
            </w:r>
          </w:p>
        </w:tc>
        <w:tc>
          <w:tcPr>
            <w:tcW w:w="7109" w:type="dxa"/>
            <w:gridSpan w:val="2"/>
            <w:shd w:val="clear" w:color="auto" w:fill="auto"/>
          </w:tcPr>
          <w:p w14:paraId="24A7AEE7" w14:textId="03A595BC" w:rsidR="00F445B1" w:rsidRPr="001356F1" w:rsidRDefault="00A44C7E" w:rsidP="004A6D2F">
            <w:pPr>
              <w:rPr>
                <w:rStyle w:val="Firstpagetablebold"/>
              </w:rPr>
            </w:pPr>
            <w:r>
              <w:rPr>
                <w:rStyle w:val="Firstpagetablebold"/>
              </w:rPr>
              <w:t xml:space="preserve">Housing Revenue Account (HRA) 40-Year Business Plan </w:t>
            </w:r>
          </w:p>
        </w:tc>
      </w:tr>
      <w:tr w:rsidR="00D5547E" w14:paraId="1CDEF52A"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8845" w:type="dxa"/>
            <w:gridSpan w:val="3"/>
            <w:tcBorders>
              <w:bottom w:val="single" w:sz="8" w:space="0" w:color="000000" w:themeColor="text1"/>
            </w:tcBorders>
            <w:hideMark/>
          </w:tcPr>
          <w:p w14:paraId="2E6CBEC2"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5EE26E4"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single" w:sz="8" w:space="0" w:color="000000" w:themeColor="text1"/>
              <w:left w:val="single" w:sz="8" w:space="0" w:color="000000" w:themeColor="text1"/>
              <w:bottom w:val="nil"/>
              <w:right w:val="nil"/>
            </w:tcBorders>
            <w:hideMark/>
          </w:tcPr>
          <w:p w14:paraId="30701A2F" w14:textId="77777777" w:rsidR="00D5547E" w:rsidRDefault="00D5547E">
            <w:pPr>
              <w:rPr>
                <w:rStyle w:val="Firstpagetablebold"/>
              </w:rPr>
            </w:pPr>
            <w:r>
              <w:rPr>
                <w:rStyle w:val="Firstpagetablebold"/>
              </w:rPr>
              <w:t>Purpose of report:</w:t>
            </w:r>
          </w:p>
        </w:tc>
        <w:tc>
          <w:tcPr>
            <w:tcW w:w="6407" w:type="dxa"/>
            <w:gridSpan w:val="2"/>
            <w:tcBorders>
              <w:top w:val="single" w:sz="8" w:space="0" w:color="000000" w:themeColor="text1"/>
              <w:left w:val="nil"/>
              <w:bottom w:val="nil"/>
              <w:right w:val="single" w:sz="8" w:space="0" w:color="000000" w:themeColor="text1"/>
            </w:tcBorders>
            <w:hideMark/>
          </w:tcPr>
          <w:p w14:paraId="57A95351" w14:textId="5C8A245A" w:rsidR="00D5547E" w:rsidRPr="001356F1" w:rsidRDefault="00F35406" w:rsidP="00DB7AD7">
            <w:r>
              <w:t xml:space="preserve">To </w:t>
            </w:r>
            <w:r w:rsidR="00D94E4F">
              <w:t>pr</w:t>
            </w:r>
            <w:r w:rsidR="00464A48">
              <w:t>esent the HRA</w:t>
            </w:r>
            <w:r w:rsidR="00EB4FEF">
              <w:t xml:space="preserve"> </w:t>
            </w:r>
            <w:r w:rsidR="00597038">
              <w:t xml:space="preserve">40-year Business Plan </w:t>
            </w:r>
            <w:r w:rsidR="00177177">
              <w:t xml:space="preserve">for approval and implementation </w:t>
            </w:r>
          </w:p>
        </w:tc>
      </w:tr>
      <w:tr w:rsidR="00D5547E" w14:paraId="57A40806"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nil"/>
              <w:right w:val="nil"/>
            </w:tcBorders>
            <w:hideMark/>
          </w:tcPr>
          <w:p w14:paraId="6C56B1D9" w14:textId="77777777" w:rsidR="00D5547E" w:rsidRDefault="00D5547E">
            <w:pPr>
              <w:rPr>
                <w:rStyle w:val="Firstpagetablebold"/>
              </w:rPr>
            </w:pPr>
            <w:r>
              <w:rPr>
                <w:rStyle w:val="Firstpagetablebold"/>
              </w:rPr>
              <w:t>Key decision:</w:t>
            </w:r>
          </w:p>
        </w:tc>
        <w:tc>
          <w:tcPr>
            <w:tcW w:w="6407" w:type="dxa"/>
            <w:gridSpan w:val="2"/>
            <w:tcBorders>
              <w:top w:val="nil"/>
              <w:left w:val="nil"/>
              <w:bottom w:val="nil"/>
              <w:right w:val="single" w:sz="8" w:space="0" w:color="000000" w:themeColor="text1"/>
            </w:tcBorders>
            <w:hideMark/>
          </w:tcPr>
          <w:p w14:paraId="54F1B470" w14:textId="68E7C5DE" w:rsidR="00D5547E" w:rsidRPr="001356F1" w:rsidRDefault="00D5547E" w:rsidP="43D56A35">
            <w:pPr>
              <w:rPr>
                <w:color w:val="FF0000"/>
              </w:rPr>
            </w:pPr>
            <w:r>
              <w:t xml:space="preserve">Yes </w:t>
            </w:r>
          </w:p>
        </w:tc>
      </w:tr>
      <w:tr w:rsidR="00D5547E" w14:paraId="28B6184B"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nil"/>
              <w:right w:val="nil"/>
            </w:tcBorders>
            <w:hideMark/>
          </w:tcPr>
          <w:p w14:paraId="4AD4B821" w14:textId="77777777" w:rsidR="00D5547E" w:rsidRDefault="00D860E2">
            <w:pPr>
              <w:rPr>
                <w:rStyle w:val="Firstpagetablebold"/>
              </w:rPr>
            </w:pPr>
            <w:r>
              <w:rPr>
                <w:rStyle w:val="Firstpagetablebold"/>
              </w:rPr>
              <w:t>Cabinet</w:t>
            </w:r>
            <w:r w:rsidR="00D5547E">
              <w:rPr>
                <w:rStyle w:val="Firstpagetablebold"/>
              </w:rPr>
              <w:t xml:space="preserve"> Member:</w:t>
            </w:r>
          </w:p>
        </w:tc>
        <w:tc>
          <w:tcPr>
            <w:tcW w:w="6407" w:type="dxa"/>
            <w:gridSpan w:val="2"/>
            <w:tcBorders>
              <w:top w:val="nil"/>
              <w:left w:val="nil"/>
              <w:bottom w:val="nil"/>
              <w:right w:val="single" w:sz="8" w:space="0" w:color="000000" w:themeColor="text1"/>
            </w:tcBorders>
            <w:hideMark/>
          </w:tcPr>
          <w:p w14:paraId="5DA89DAF" w14:textId="2DB567E6" w:rsidR="00637B00" w:rsidRPr="00362941" w:rsidRDefault="00FF595E" w:rsidP="43D56A35">
            <w:r w:rsidRPr="00FF595E">
              <w:t>Cllr. Linda Smith, Cabinet Member for Housing and Communities</w:t>
            </w:r>
          </w:p>
        </w:tc>
      </w:tr>
      <w:tr w:rsidR="0080749A" w14:paraId="15E75EAC"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Height w:val="339"/>
        </w:trPr>
        <w:tc>
          <w:tcPr>
            <w:tcW w:w="2438" w:type="dxa"/>
            <w:tcBorders>
              <w:top w:val="nil"/>
              <w:left w:val="single" w:sz="8" w:space="0" w:color="000000" w:themeColor="text1"/>
              <w:bottom w:val="nil"/>
              <w:right w:val="nil"/>
            </w:tcBorders>
          </w:tcPr>
          <w:p w14:paraId="6CCEC74A" w14:textId="77777777" w:rsidR="0080749A" w:rsidRDefault="0080749A">
            <w:pPr>
              <w:rPr>
                <w:rStyle w:val="Firstpagetablebold"/>
              </w:rPr>
            </w:pPr>
            <w:r>
              <w:rPr>
                <w:rStyle w:val="Firstpagetablebold"/>
              </w:rPr>
              <w:t>Corporate Priority:</w:t>
            </w:r>
          </w:p>
        </w:tc>
        <w:tc>
          <w:tcPr>
            <w:tcW w:w="6407" w:type="dxa"/>
            <w:gridSpan w:val="2"/>
            <w:tcBorders>
              <w:top w:val="nil"/>
              <w:left w:val="nil"/>
              <w:bottom w:val="nil"/>
              <w:right w:val="single" w:sz="8" w:space="0" w:color="000000" w:themeColor="text1"/>
            </w:tcBorders>
          </w:tcPr>
          <w:p w14:paraId="53C05E1D" w14:textId="1290D811" w:rsidR="0080749A" w:rsidRPr="001356F1" w:rsidRDefault="00ED1204" w:rsidP="005F7F7E">
            <w:r>
              <w:t xml:space="preserve">Housing </w:t>
            </w:r>
          </w:p>
        </w:tc>
      </w:tr>
      <w:tr w:rsidR="00D5547E" w14:paraId="6CE74681" w14:textId="77777777" w:rsidTr="008B7F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1"/>
          <w:gridAfter w:val="1"/>
          <w:wBefore w:w="10" w:type="dxa"/>
          <w:wAfter w:w="959" w:type="dxa"/>
        </w:trPr>
        <w:tc>
          <w:tcPr>
            <w:tcW w:w="2438" w:type="dxa"/>
            <w:tcBorders>
              <w:top w:val="nil"/>
              <w:left w:val="single" w:sz="8" w:space="0" w:color="000000" w:themeColor="text1"/>
              <w:bottom w:val="single" w:sz="4" w:space="0" w:color="auto"/>
              <w:right w:val="nil"/>
            </w:tcBorders>
            <w:hideMark/>
          </w:tcPr>
          <w:p w14:paraId="6827A1AE" w14:textId="77777777" w:rsidR="00D5547E" w:rsidRDefault="00D5547E">
            <w:pPr>
              <w:rPr>
                <w:rStyle w:val="Firstpagetablebold"/>
              </w:rPr>
            </w:pPr>
            <w:r>
              <w:rPr>
                <w:rStyle w:val="Firstpagetablebold"/>
              </w:rPr>
              <w:t>Policy Framework:</w:t>
            </w:r>
          </w:p>
        </w:tc>
        <w:tc>
          <w:tcPr>
            <w:tcW w:w="6407" w:type="dxa"/>
            <w:gridSpan w:val="2"/>
            <w:tcBorders>
              <w:top w:val="nil"/>
              <w:left w:val="nil"/>
              <w:bottom w:val="single" w:sz="4" w:space="0" w:color="auto"/>
              <w:right w:val="single" w:sz="8" w:space="0" w:color="000000" w:themeColor="text1"/>
            </w:tcBorders>
            <w:hideMark/>
          </w:tcPr>
          <w:p w14:paraId="53728F10" w14:textId="4E25ACFE" w:rsidR="00D5547E" w:rsidRPr="001356F1" w:rsidRDefault="00ED1204" w:rsidP="005F7F7E">
            <w:r>
              <w:t xml:space="preserve">Corporate Business Plan </w:t>
            </w:r>
            <w:r w:rsidR="00D94E4F">
              <w:t xml:space="preserve">priorities for Housing </w:t>
            </w:r>
          </w:p>
        </w:tc>
      </w:tr>
    </w:tbl>
    <w:p w14:paraId="7F88C011" w14:textId="77777777" w:rsidR="00CE544A" w:rsidRDefault="00CE544A"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8"/>
        <w:gridCol w:w="8518"/>
      </w:tblGrid>
      <w:tr w:rsidR="0097170F" w:rsidRPr="00975B07" w14:paraId="13EA968B" w14:textId="77777777" w:rsidTr="0002046A">
        <w:trPr>
          <w:trHeight w:val="342"/>
        </w:trPr>
        <w:tc>
          <w:tcPr>
            <w:tcW w:w="8754" w:type="dxa"/>
            <w:gridSpan w:val="2"/>
            <w:tcBorders>
              <w:bottom w:val="single" w:sz="8" w:space="0" w:color="000000"/>
            </w:tcBorders>
          </w:tcPr>
          <w:p w14:paraId="3C3D3A19" w14:textId="00D97024" w:rsidR="0097170F" w:rsidRPr="00975B07" w:rsidRDefault="0097170F" w:rsidP="00531540">
            <w:r>
              <w:rPr>
                <w:rStyle w:val="Firstpagetablebold"/>
              </w:rPr>
              <w:t>Recommendation(s</w:t>
            </w:r>
            <w:r w:rsidR="00CC229D">
              <w:rPr>
                <w:rStyle w:val="Firstpagetablebold"/>
              </w:rPr>
              <w:t>):</w:t>
            </w:r>
            <w:r w:rsidR="00CC229D" w:rsidRPr="008954DF">
              <w:rPr>
                <w:rStyle w:val="Firstpagetablebold"/>
                <w:b w:val="0"/>
              </w:rPr>
              <w:t xml:space="preserve"> That</w:t>
            </w:r>
            <w:r w:rsidRPr="008954DF">
              <w:rPr>
                <w:rStyle w:val="Firstpagetablebold"/>
                <w:b w:val="0"/>
              </w:rPr>
              <w:t xml:space="preserve"> Cabinet resolves to:</w:t>
            </w:r>
          </w:p>
        </w:tc>
      </w:tr>
      <w:tr w:rsidR="0097170F" w:rsidRPr="00975B07" w14:paraId="7EB9BB0E" w14:textId="77777777" w:rsidTr="0002046A">
        <w:trPr>
          <w:trHeight w:val="469"/>
        </w:trPr>
        <w:tc>
          <w:tcPr>
            <w:tcW w:w="238" w:type="dxa"/>
            <w:tcBorders>
              <w:top w:val="single" w:sz="8" w:space="0" w:color="000000"/>
              <w:left w:val="single" w:sz="8" w:space="0" w:color="000000"/>
              <w:bottom w:val="nil"/>
              <w:right w:val="nil"/>
            </w:tcBorders>
          </w:tcPr>
          <w:p w14:paraId="299E1496" w14:textId="3637EF59" w:rsidR="0097170F" w:rsidRPr="002910EF" w:rsidRDefault="0097170F" w:rsidP="00531540">
            <w:pPr>
              <w:rPr>
                <w:color w:val="FF0000"/>
              </w:rPr>
            </w:pPr>
          </w:p>
        </w:tc>
        <w:tc>
          <w:tcPr>
            <w:tcW w:w="8518" w:type="dxa"/>
            <w:tcBorders>
              <w:top w:val="single" w:sz="8" w:space="0" w:color="000000"/>
              <w:left w:val="nil"/>
              <w:bottom w:val="nil"/>
              <w:right w:val="single" w:sz="8" w:space="0" w:color="000000"/>
            </w:tcBorders>
            <w:shd w:val="clear" w:color="auto" w:fill="auto"/>
          </w:tcPr>
          <w:p w14:paraId="0F1E70D8" w14:textId="77777777" w:rsidR="0002046A" w:rsidRPr="00A37458" w:rsidRDefault="0002046A" w:rsidP="002B08AD">
            <w:pPr>
              <w:pStyle w:val="PlainText"/>
              <w:spacing w:before="120"/>
              <w:ind w:left="-34"/>
              <w:rPr>
                <w:rFonts w:ascii="Arial" w:hAnsi="Arial" w:cs="Arial"/>
                <w:sz w:val="24"/>
                <w:szCs w:val="24"/>
              </w:rPr>
            </w:pPr>
            <w:r w:rsidRPr="00A37458">
              <w:rPr>
                <w:rFonts w:ascii="Arial" w:hAnsi="Arial" w:cs="Arial"/>
                <w:sz w:val="24"/>
                <w:szCs w:val="24"/>
              </w:rPr>
              <w:t>Cabinet is asked to:</w:t>
            </w:r>
          </w:p>
          <w:p w14:paraId="1DDBD115" w14:textId="77777777" w:rsidR="0002046A" w:rsidRPr="00A37458" w:rsidRDefault="0002046A" w:rsidP="0002046A">
            <w:pPr>
              <w:pStyle w:val="PlainText"/>
              <w:rPr>
                <w:rFonts w:ascii="Arial" w:hAnsi="Arial" w:cs="Arial"/>
                <w:sz w:val="24"/>
                <w:szCs w:val="24"/>
              </w:rPr>
            </w:pPr>
          </w:p>
          <w:p w14:paraId="14F0D877" w14:textId="4417047B" w:rsidR="0002046A" w:rsidRPr="00A37458" w:rsidRDefault="0002046A" w:rsidP="0002046A">
            <w:pPr>
              <w:pStyle w:val="PlainText"/>
              <w:numPr>
                <w:ilvl w:val="0"/>
                <w:numId w:val="6"/>
              </w:numPr>
              <w:ind w:left="391" w:hanging="391"/>
              <w:rPr>
                <w:rFonts w:ascii="Arial" w:hAnsi="Arial" w:cs="Arial"/>
                <w:sz w:val="24"/>
                <w:szCs w:val="24"/>
              </w:rPr>
            </w:pPr>
            <w:r w:rsidRPr="00A37458">
              <w:rPr>
                <w:rFonts w:ascii="Arial" w:hAnsi="Arial" w:cs="Arial"/>
                <w:sz w:val="24"/>
                <w:szCs w:val="24"/>
              </w:rPr>
              <w:t xml:space="preserve">Adopt the new OCC </w:t>
            </w:r>
            <w:r w:rsidR="00506B39">
              <w:rPr>
                <w:rFonts w:ascii="Arial" w:hAnsi="Arial" w:cs="Arial"/>
                <w:sz w:val="24"/>
                <w:szCs w:val="24"/>
              </w:rPr>
              <w:t xml:space="preserve">Housing </w:t>
            </w:r>
            <w:r w:rsidRPr="00A37458">
              <w:rPr>
                <w:rFonts w:ascii="Arial" w:hAnsi="Arial" w:cs="Arial"/>
                <w:sz w:val="24"/>
                <w:szCs w:val="24"/>
              </w:rPr>
              <w:t xml:space="preserve">Revenue Account 40-Year Business Plan, </w:t>
            </w:r>
            <w:r w:rsidR="00506B39">
              <w:rPr>
                <w:rFonts w:ascii="Arial" w:hAnsi="Arial" w:cs="Arial"/>
                <w:sz w:val="24"/>
                <w:szCs w:val="24"/>
              </w:rPr>
              <w:t xml:space="preserve">which </w:t>
            </w:r>
            <w:r w:rsidR="00506B39" w:rsidRPr="00E13B77">
              <w:rPr>
                <w:rFonts w:ascii="Arial" w:hAnsi="Arial" w:cs="Arial"/>
                <w:sz w:val="24"/>
                <w:szCs w:val="24"/>
              </w:rPr>
              <w:t xml:space="preserve">is attached at </w:t>
            </w:r>
            <w:r w:rsidR="00506B39" w:rsidRPr="00DF246D">
              <w:rPr>
                <w:rFonts w:ascii="Arial" w:hAnsi="Arial" w:cs="Arial"/>
                <w:b/>
                <w:bCs/>
                <w:sz w:val="24"/>
                <w:szCs w:val="24"/>
              </w:rPr>
              <w:t>Appendix A</w:t>
            </w:r>
            <w:r w:rsidR="00506B39">
              <w:rPr>
                <w:rFonts w:ascii="Arial" w:hAnsi="Arial" w:cs="Arial"/>
                <w:sz w:val="24"/>
                <w:szCs w:val="24"/>
              </w:rPr>
              <w:t xml:space="preserve"> that </w:t>
            </w:r>
            <w:r w:rsidRPr="00A37458">
              <w:rPr>
                <w:rFonts w:ascii="Arial" w:hAnsi="Arial" w:cs="Arial"/>
                <w:sz w:val="24"/>
                <w:szCs w:val="24"/>
              </w:rPr>
              <w:t xml:space="preserve">shows the HRA is able to fund planned expenditure over the medium term as set out in the 2025/26 Budget and MTFP proposals. </w:t>
            </w:r>
          </w:p>
          <w:p w14:paraId="76AD0BCB" w14:textId="77777777" w:rsidR="0002046A" w:rsidRPr="00A37458" w:rsidRDefault="0002046A" w:rsidP="0002046A">
            <w:pPr>
              <w:pStyle w:val="PlainText"/>
              <w:ind w:left="391" w:hanging="391"/>
              <w:rPr>
                <w:rFonts w:ascii="Arial" w:hAnsi="Arial" w:cs="Arial"/>
                <w:sz w:val="24"/>
                <w:szCs w:val="24"/>
              </w:rPr>
            </w:pPr>
          </w:p>
          <w:p w14:paraId="67AA5E49" w14:textId="7B806CBC" w:rsidR="0002046A" w:rsidRPr="00A37458" w:rsidRDefault="0002046A" w:rsidP="0002046A">
            <w:pPr>
              <w:pStyle w:val="PlainText"/>
              <w:numPr>
                <w:ilvl w:val="0"/>
                <w:numId w:val="6"/>
              </w:numPr>
              <w:ind w:left="391" w:hanging="391"/>
              <w:rPr>
                <w:rFonts w:ascii="Arial" w:hAnsi="Arial" w:cs="Arial"/>
                <w:sz w:val="24"/>
                <w:szCs w:val="24"/>
              </w:rPr>
            </w:pPr>
            <w:r w:rsidRPr="00A37458">
              <w:rPr>
                <w:rFonts w:ascii="Arial" w:hAnsi="Arial" w:cs="Arial"/>
                <w:sz w:val="24"/>
                <w:szCs w:val="24"/>
              </w:rPr>
              <w:t>Agree to:</w:t>
            </w:r>
          </w:p>
          <w:p w14:paraId="74CABD83" w14:textId="0CBBC29C" w:rsidR="00506B39" w:rsidRDefault="00506B39" w:rsidP="0002046A">
            <w:pPr>
              <w:pStyle w:val="PlainText"/>
              <w:numPr>
                <w:ilvl w:val="0"/>
                <w:numId w:val="7"/>
              </w:numPr>
              <w:spacing w:before="120"/>
              <w:ind w:left="958" w:hanging="142"/>
              <w:rPr>
                <w:rFonts w:ascii="Arial" w:hAnsi="Arial" w:cs="Arial"/>
                <w:sz w:val="24"/>
                <w:szCs w:val="24"/>
              </w:rPr>
            </w:pPr>
            <w:r w:rsidRPr="00A37458">
              <w:rPr>
                <w:rFonts w:ascii="Arial" w:hAnsi="Arial" w:cs="Arial"/>
                <w:sz w:val="24"/>
                <w:szCs w:val="24"/>
              </w:rPr>
              <w:t xml:space="preserve">implement the actions set out </w:t>
            </w:r>
            <w:r>
              <w:rPr>
                <w:rFonts w:ascii="Arial" w:hAnsi="Arial" w:cs="Arial"/>
                <w:sz w:val="24"/>
                <w:szCs w:val="24"/>
              </w:rPr>
              <w:t>at</w:t>
            </w:r>
            <w:r w:rsidRPr="00A37458">
              <w:rPr>
                <w:rFonts w:ascii="Arial" w:hAnsi="Arial" w:cs="Arial"/>
                <w:sz w:val="24"/>
                <w:szCs w:val="24"/>
              </w:rPr>
              <w:t xml:space="preserve"> paragraph 3.12</w:t>
            </w:r>
            <w:r>
              <w:rPr>
                <w:rFonts w:ascii="Arial" w:hAnsi="Arial" w:cs="Arial"/>
                <w:sz w:val="24"/>
                <w:szCs w:val="24"/>
              </w:rPr>
              <w:t xml:space="preserve"> for further improving the financial position of the HRA in the medium term and bring forward availability of new borrowing f</w:t>
            </w:r>
            <w:r w:rsidR="00F72A54">
              <w:rPr>
                <w:rFonts w:ascii="Arial" w:hAnsi="Arial" w:cs="Arial"/>
                <w:sz w:val="24"/>
                <w:szCs w:val="24"/>
              </w:rPr>
              <w:t>rom</w:t>
            </w:r>
            <w:r>
              <w:rPr>
                <w:rFonts w:ascii="Arial" w:hAnsi="Arial" w:cs="Arial"/>
                <w:sz w:val="24"/>
                <w:szCs w:val="24"/>
              </w:rPr>
              <w:t xml:space="preserve"> 2030/31; and</w:t>
            </w:r>
          </w:p>
          <w:p w14:paraId="308879E9" w14:textId="650D6BF5" w:rsidR="00697624" w:rsidRPr="002B08AD" w:rsidRDefault="0002046A" w:rsidP="002B08AD">
            <w:pPr>
              <w:pStyle w:val="PlainText"/>
              <w:numPr>
                <w:ilvl w:val="0"/>
                <w:numId w:val="7"/>
              </w:numPr>
              <w:spacing w:before="120"/>
              <w:ind w:left="958" w:hanging="142"/>
              <w:rPr>
                <w:rFonts w:ascii="Arial" w:hAnsi="Arial" w:cs="Arial"/>
                <w:sz w:val="24"/>
                <w:szCs w:val="24"/>
              </w:rPr>
            </w:pPr>
            <w:r w:rsidRPr="00A37458">
              <w:rPr>
                <w:rFonts w:ascii="Arial" w:hAnsi="Arial" w:cs="Arial"/>
                <w:sz w:val="24"/>
                <w:szCs w:val="24"/>
              </w:rPr>
              <w:t>prepar</w:t>
            </w:r>
            <w:r w:rsidR="00506B39">
              <w:rPr>
                <w:rFonts w:ascii="Arial" w:hAnsi="Arial" w:cs="Arial"/>
                <w:sz w:val="24"/>
                <w:szCs w:val="24"/>
              </w:rPr>
              <w:t>e</w:t>
            </w:r>
            <w:r w:rsidRPr="00A37458">
              <w:rPr>
                <w:rFonts w:ascii="Arial" w:hAnsi="Arial" w:cs="Arial"/>
                <w:sz w:val="24"/>
                <w:szCs w:val="24"/>
              </w:rPr>
              <w:t xml:space="preserve"> the </w:t>
            </w:r>
            <w:r w:rsidR="002B08AD">
              <w:rPr>
                <w:rFonts w:ascii="Arial" w:hAnsi="Arial" w:cs="Arial"/>
                <w:sz w:val="24"/>
                <w:szCs w:val="24"/>
              </w:rPr>
              <w:t xml:space="preserve">options available to the </w:t>
            </w:r>
            <w:r w:rsidRPr="00A37458">
              <w:rPr>
                <w:rFonts w:ascii="Arial" w:hAnsi="Arial" w:cs="Arial"/>
                <w:sz w:val="24"/>
                <w:szCs w:val="24"/>
              </w:rPr>
              <w:t>Council for investing the HRA beyond 203</w:t>
            </w:r>
            <w:r w:rsidR="00506B39">
              <w:rPr>
                <w:rFonts w:ascii="Arial" w:hAnsi="Arial" w:cs="Arial"/>
                <w:sz w:val="24"/>
                <w:szCs w:val="24"/>
              </w:rPr>
              <w:t>0/3</w:t>
            </w:r>
            <w:r w:rsidRPr="00A37458">
              <w:rPr>
                <w:rFonts w:ascii="Arial" w:hAnsi="Arial" w:cs="Arial"/>
                <w:sz w:val="24"/>
                <w:szCs w:val="24"/>
              </w:rPr>
              <w:t>1 as outlined at paragraphs 3.19/20</w:t>
            </w:r>
            <w:r w:rsidR="002B08AD">
              <w:rPr>
                <w:rFonts w:ascii="Arial" w:hAnsi="Arial" w:cs="Arial"/>
                <w:sz w:val="24"/>
                <w:szCs w:val="24"/>
              </w:rPr>
              <w:t xml:space="preserve">.  </w:t>
            </w:r>
          </w:p>
        </w:tc>
      </w:tr>
      <w:tr w:rsidR="0097170F" w:rsidRPr="00975B07" w14:paraId="1C5E7055" w14:textId="77777777" w:rsidTr="002B08AD">
        <w:trPr>
          <w:trHeight w:val="60"/>
        </w:trPr>
        <w:tc>
          <w:tcPr>
            <w:tcW w:w="238" w:type="dxa"/>
            <w:tcBorders>
              <w:top w:val="nil"/>
              <w:left w:val="single" w:sz="8" w:space="0" w:color="000000"/>
              <w:bottom w:val="single" w:sz="8" w:space="0" w:color="000000"/>
              <w:right w:val="nil"/>
            </w:tcBorders>
          </w:tcPr>
          <w:p w14:paraId="371445A0" w14:textId="0465288D" w:rsidR="0097170F" w:rsidRPr="00BB136C" w:rsidRDefault="0097170F" w:rsidP="00531540">
            <w:pPr>
              <w:rPr>
                <w:highlight w:val="yellow"/>
              </w:rPr>
            </w:pPr>
          </w:p>
        </w:tc>
        <w:tc>
          <w:tcPr>
            <w:tcW w:w="8518" w:type="dxa"/>
            <w:tcBorders>
              <w:top w:val="nil"/>
              <w:left w:val="nil"/>
              <w:bottom w:val="single" w:sz="8" w:space="0" w:color="000000"/>
              <w:right w:val="single" w:sz="8" w:space="0" w:color="000000"/>
            </w:tcBorders>
            <w:shd w:val="clear" w:color="auto" w:fill="auto"/>
          </w:tcPr>
          <w:p w14:paraId="1FBFCE6A" w14:textId="1AE5FE9A" w:rsidR="00134112" w:rsidRPr="00134112" w:rsidRDefault="00134112" w:rsidP="00531540">
            <w:pPr>
              <w:rPr>
                <w:bCs/>
              </w:rPr>
            </w:pPr>
          </w:p>
        </w:tc>
      </w:tr>
    </w:tbl>
    <w:p w14:paraId="6E082CB7" w14:textId="77777777" w:rsidR="0097170F" w:rsidRDefault="0097170F" w:rsidP="004A6D2F"/>
    <w:p w14:paraId="351AEA49" w14:textId="77777777" w:rsidR="0002046A" w:rsidRDefault="0002046A" w:rsidP="0002046A">
      <w:pPr>
        <w:pStyle w:val="PlainText"/>
        <w:rPr>
          <w:rFonts w:ascii="Arial" w:hAnsi="Arial" w:cs="Arial"/>
          <w:sz w:val="24"/>
          <w:szCs w:val="24"/>
        </w:rPr>
      </w:pPr>
    </w:p>
    <w:p w14:paraId="649AC756" w14:textId="65F49ED7" w:rsidR="0002046A" w:rsidRPr="007C7FAA" w:rsidRDefault="00162584" w:rsidP="0002046A">
      <w:pPr>
        <w:pStyle w:val="PlainText"/>
        <w:rPr>
          <w:rFonts w:ascii="Arial" w:hAnsi="Arial" w:cs="Arial"/>
          <w:b/>
          <w:sz w:val="24"/>
          <w:szCs w:val="24"/>
        </w:rPr>
      </w:pPr>
      <w:r>
        <w:rPr>
          <w:rFonts w:ascii="Arial" w:hAnsi="Arial" w:cs="Arial"/>
          <w:b/>
          <w:sz w:val="24"/>
          <w:szCs w:val="24"/>
        </w:rPr>
        <w:t>1</w:t>
      </w:r>
      <w:r w:rsidR="0002046A" w:rsidRPr="007C7FAA">
        <w:rPr>
          <w:rFonts w:ascii="Arial" w:hAnsi="Arial" w:cs="Arial"/>
          <w:b/>
          <w:sz w:val="24"/>
          <w:szCs w:val="24"/>
        </w:rPr>
        <w:t>.</w:t>
      </w:r>
      <w:r w:rsidR="0002046A" w:rsidRPr="007C7FAA">
        <w:rPr>
          <w:rFonts w:ascii="Arial" w:hAnsi="Arial" w:cs="Arial"/>
          <w:b/>
          <w:sz w:val="24"/>
          <w:szCs w:val="24"/>
        </w:rPr>
        <w:tab/>
        <w:t>Report Summary</w:t>
      </w:r>
    </w:p>
    <w:p w14:paraId="20DE1FC3" w14:textId="77777777" w:rsidR="0002046A" w:rsidRPr="00932C42" w:rsidRDefault="0002046A" w:rsidP="0002046A">
      <w:pPr>
        <w:pStyle w:val="PlainText"/>
        <w:rPr>
          <w:rFonts w:ascii="Arial" w:hAnsi="Arial" w:cs="Arial"/>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02046A" w:rsidRPr="00932C42" w14:paraId="23BF5A24" w14:textId="77777777" w:rsidTr="0002046A">
        <w:tc>
          <w:tcPr>
            <w:tcW w:w="8789" w:type="dxa"/>
          </w:tcPr>
          <w:p w14:paraId="1FB61BD0" w14:textId="552BA5D7" w:rsidR="0002046A" w:rsidRPr="0002046A" w:rsidRDefault="0002046A" w:rsidP="0002046A">
            <w:pPr>
              <w:pStyle w:val="PlainText"/>
              <w:numPr>
                <w:ilvl w:val="0"/>
                <w:numId w:val="8"/>
              </w:numPr>
              <w:tabs>
                <w:tab w:val="clear" w:pos="720"/>
                <w:tab w:val="num" w:pos="457"/>
              </w:tabs>
              <w:spacing w:before="120"/>
              <w:ind w:left="459" w:hanging="425"/>
              <w:rPr>
                <w:rFonts w:ascii="Arial" w:hAnsi="Arial" w:cs="Arial"/>
                <w:sz w:val="24"/>
                <w:szCs w:val="24"/>
              </w:rPr>
            </w:pPr>
            <w:r w:rsidRPr="00932C42">
              <w:rPr>
                <w:rFonts w:ascii="Arial" w:hAnsi="Arial" w:cs="Arial"/>
                <w:sz w:val="24"/>
                <w:szCs w:val="24"/>
              </w:rPr>
              <w:t xml:space="preserve">Oxford City Council’s Housing Revenue Account Business Plan models the HRAs expected incomes, and its expenditure on housing management, housing repairs and capital maintenance over the next 40 financial years.  It </w:t>
            </w:r>
            <w:r w:rsidRPr="00932C42">
              <w:rPr>
                <w:rFonts w:ascii="Arial" w:hAnsi="Arial" w:cs="Arial"/>
                <w:sz w:val="24"/>
                <w:szCs w:val="24"/>
              </w:rPr>
              <w:lastRenderedPageBreak/>
              <w:t xml:space="preserve">also models approved proposals for additional council house building and acquisitions. </w:t>
            </w:r>
          </w:p>
          <w:p w14:paraId="7E833371" w14:textId="1606948E" w:rsidR="0002046A" w:rsidRPr="0002046A" w:rsidRDefault="0002046A" w:rsidP="0002046A">
            <w:pPr>
              <w:pStyle w:val="PlainText"/>
              <w:numPr>
                <w:ilvl w:val="0"/>
                <w:numId w:val="8"/>
              </w:numPr>
              <w:tabs>
                <w:tab w:val="clear" w:pos="720"/>
                <w:tab w:val="num" w:pos="457"/>
              </w:tabs>
              <w:spacing w:before="240"/>
              <w:ind w:left="459" w:hanging="425"/>
              <w:rPr>
                <w:rFonts w:ascii="Arial" w:hAnsi="Arial" w:cs="Arial"/>
                <w:sz w:val="24"/>
                <w:szCs w:val="24"/>
              </w:rPr>
            </w:pPr>
            <w:r w:rsidRPr="00932C42">
              <w:rPr>
                <w:rFonts w:ascii="Arial" w:hAnsi="Arial" w:cs="Arial"/>
                <w:sz w:val="24"/>
                <w:szCs w:val="24"/>
              </w:rPr>
              <w:t xml:space="preserve">The draft OCC HRA Business Plan, attached at </w:t>
            </w:r>
            <w:r w:rsidRPr="00DF246D">
              <w:rPr>
                <w:rFonts w:ascii="Arial" w:hAnsi="Arial" w:cs="Arial"/>
                <w:b/>
                <w:bCs/>
                <w:sz w:val="24"/>
                <w:szCs w:val="24"/>
              </w:rPr>
              <w:t>Appendix A</w:t>
            </w:r>
            <w:r w:rsidRPr="00932C42">
              <w:rPr>
                <w:rFonts w:ascii="Arial" w:hAnsi="Arial" w:cs="Arial"/>
                <w:sz w:val="24"/>
                <w:szCs w:val="24"/>
              </w:rPr>
              <w:t xml:space="preserve">, confirms that the Council’s plans (as per MTFP) for delivering services to its tenants, </w:t>
            </w:r>
            <w:r>
              <w:rPr>
                <w:rFonts w:ascii="Arial" w:hAnsi="Arial" w:cs="Arial"/>
                <w:sz w:val="24"/>
                <w:szCs w:val="24"/>
              </w:rPr>
              <w:t xml:space="preserve">and </w:t>
            </w:r>
            <w:r w:rsidRPr="00932C42">
              <w:rPr>
                <w:rFonts w:ascii="Arial" w:hAnsi="Arial" w:cs="Arial"/>
                <w:sz w:val="24"/>
                <w:szCs w:val="24"/>
              </w:rPr>
              <w:t>maintaining and securing new council homes over the next 5 years, are affordable</w:t>
            </w:r>
            <w:r>
              <w:rPr>
                <w:rFonts w:ascii="Arial" w:hAnsi="Arial" w:cs="Arial"/>
                <w:sz w:val="24"/>
                <w:szCs w:val="24"/>
              </w:rPr>
              <w:t>.</w:t>
            </w:r>
          </w:p>
          <w:p w14:paraId="24991342" w14:textId="7CCE3414" w:rsidR="0002046A" w:rsidRPr="0002046A" w:rsidRDefault="0002046A" w:rsidP="0002046A">
            <w:pPr>
              <w:pStyle w:val="PlainText"/>
              <w:numPr>
                <w:ilvl w:val="0"/>
                <w:numId w:val="8"/>
              </w:numPr>
              <w:tabs>
                <w:tab w:val="clear" w:pos="720"/>
                <w:tab w:val="num" w:pos="457"/>
              </w:tabs>
              <w:spacing w:before="240"/>
              <w:ind w:left="459" w:hanging="425"/>
              <w:rPr>
                <w:rFonts w:ascii="Arial" w:hAnsi="Arial" w:cs="Arial"/>
                <w:sz w:val="24"/>
                <w:szCs w:val="24"/>
              </w:rPr>
            </w:pPr>
            <w:r w:rsidRPr="00932C42">
              <w:rPr>
                <w:rFonts w:ascii="Arial" w:hAnsi="Arial" w:cs="Arial"/>
                <w:sz w:val="24"/>
                <w:szCs w:val="24"/>
              </w:rPr>
              <w:t xml:space="preserve">The </w:t>
            </w:r>
            <w:r w:rsidRPr="0066417E">
              <w:rPr>
                <w:rFonts w:ascii="Arial" w:hAnsi="Arial" w:cs="Arial"/>
                <w:sz w:val="24"/>
                <w:szCs w:val="24"/>
              </w:rPr>
              <w:t xml:space="preserve">Business Plan </w:t>
            </w:r>
            <w:r w:rsidRPr="00932C42">
              <w:rPr>
                <w:rFonts w:ascii="Arial" w:hAnsi="Arial" w:cs="Arial"/>
                <w:sz w:val="24"/>
                <w:szCs w:val="24"/>
              </w:rPr>
              <w:t>confirms the reasonabl</w:t>
            </w:r>
            <w:r>
              <w:rPr>
                <w:rFonts w:ascii="Arial" w:hAnsi="Arial" w:cs="Arial"/>
                <w:sz w:val="24"/>
                <w:szCs w:val="24"/>
              </w:rPr>
              <w:t>y</w:t>
            </w:r>
            <w:r w:rsidRPr="00932C42">
              <w:rPr>
                <w:rFonts w:ascii="Arial" w:hAnsi="Arial" w:cs="Arial"/>
                <w:sz w:val="24"/>
                <w:szCs w:val="24"/>
              </w:rPr>
              <w:t xml:space="preserve"> </w:t>
            </w:r>
            <w:r>
              <w:rPr>
                <w:rFonts w:ascii="Arial" w:hAnsi="Arial" w:cs="Arial"/>
                <w:sz w:val="24"/>
                <w:szCs w:val="24"/>
              </w:rPr>
              <w:t xml:space="preserve">good </w:t>
            </w:r>
            <w:r w:rsidRPr="00932C42">
              <w:rPr>
                <w:rFonts w:ascii="Arial" w:hAnsi="Arial" w:cs="Arial"/>
                <w:sz w:val="24"/>
                <w:szCs w:val="24"/>
              </w:rPr>
              <w:t xml:space="preserve">health </w:t>
            </w:r>
            <w:r>
              <w:rPr>
                <w:rFonts w:ascii="Arial" w:hAnsi="Arial" w:cs="Arial"/>
                <w:sz w:val="24"/>
                <w:szCs w:val="24"/>
              </w:rPr>
              <w:t xml:space="preserve">of the HRA </w:t>
            </w:r>
            <w:r w:rsidRPr="0066417E">
              <w:rPr>
                <w:rFonts w:ascii="Arial" w:hAnsi="Arial" w:cs="Arial"/>
                <w:sz w:val="24"/>
                <w:szCs w:val="24"/>
              </w:rPr>
              <w:t xml:space="preserve">over the next 40 years.  It highlights that the HRA will marginally fall into a ‘borderline affordable’ position below the ICR guideline for a </w:t>
            </w:r>
            <w:r w:rsidR="00F139FB" w:rsidRPr="0066417E">
              <w:rPr>
                <w:rFonts w:ascii="Arial" w:hAnsi="Arial" w:cs="Arial"/>
                <w:sz w:val="24"/>
                <w:szCs w:val="24"/>
              </w:rPr>
              <w:t>3-year</w:t>
            </w:r>
            <w:r w:rsidRPr="0066417E">
              <w:rPr>
                <w:rFonts w:ascii="Arial" w:hAnsi="Arial" w:cs="Arial"/>
                <w:sz w:val="24"/>
                <w:szCs w:val="24"/>
              </w:rPr>
              <w:t xml:space="preserve"> period around 2028-31. This limits the Council’s </w:t>
            </w:r>
            <w:r>
              <w:rPr>
                <w:rFonts w:ascii="Arial" w:hAnsi="Arial" w:cs="Arial"/>
                <w:sz w:val="24"/>
                <w:szCs w:val="24"/>
              </w:rPr>
              <w:t>ability for</w:t>
            </w:r>
            <w:r w:rsidRPr="0066417E">
              <w:rPr>
                <w:rFonts w:ascii="Arial" w:hAnsi="Arial" w:cs="Arial"/>
                <w:sz w:val="24"/>
                <w:szCs w:val="24"/>
              </w:rPr>
              <w:t xml:space="preserve"> </w:t>
            </w:r>
            <w:r>
              <w:rPr>
                <w:rFonts w:ascii="Arial" w:hAnsi="Arial" w:cs="Arial"/>
                <w:sz w:val="24"/>
                <w:szCs w:val="24"/>
              </w:rPr>
              <w:t xml:space="preserve">new, </w:t>
            </w:r>
            <w:r w:rsidRPr="0066417E">
              <w:rPr>
                <w:rFonts w:ascii="Arial" w:hAnsi="Arial" w:cs="Arial"/>
                <w:sz w:val="24"/>
                <w:szCs w:val="24"/>
              </w:rPr>
              <w:t xml:space="preserve">additional borrowing or investments in the medium term, but affordability and </w:t>
            </w:r>
            <w:r>
              <w:rPr>
                <w:rFonts w:ascii="Arial" w:hAnsi="Arial" w:cs="Arial"/>
                <w:sz w:val="24"/>
                <w:szCs w:val="24"/>
              </w:rPr>
              <w:t xml:space="preserve">new </w:t>
            </w:r>
            <w:r w:rsidRPr="0066417E">
              <w:rPr>
                <w:rFonts w:ascii="Arial" w:hAnsi="Arial" w:cs="Arial"/>
                <w:sz w:val="24"/>
                <w:szCs w:val="24"/>
              </w:rPr>
              <w:t xml:space="preserve">borrowing headroom </w:t>
            </w:r>
            <w:r>
              <w:rPr>
                <w:rFonts w:ascii="Arial" w:hAnsi="Arial" w:cs="Arial"/>
                <w:sz w:val="24"/>
                <w:szCs w:val="24"/>
              </w:rPr>
              <w:t xml:space="preserve">improve </w:t>
            </w:r>
            <w:r w:rsidRPr="0066417E">
              <w:rPr>
                <w:rFonts w:ascii="Arial" w:hAnsi="Arial" w:cs="Arial"/>
                <w:sz w:val="24"/>
                <w:szCs w:val="24"/>
              </w:rPr>
              <w:t>from 2031.</w:t>
            </w:r>
          </w:p>
          <w:p w14:paraId="2E03E34C" w14:textId="2BC10B4D" w:rsidR="0002046A" w:rsidRPr="0002046A" w:rsidRDefault="0002046A" w:rsidP="0002046A">
            <w:pPr>
              <w:pStyle w:val="PlainText"/>
              <w:numPr>
                <w:ilvl w:val="0"/>
                <w:numId w:val="8"/>
              </w:numPr>
              <w:tabs>
                <w:tab w:val="clear" w:pos="720"/>
                <w:tab w:val="num" w:pos="457"/>
              </w:tabs>
              <w:spacing w:before="240"/>
              <w:ind w:left="459" w:hanging="425"/>
              <w:rPr>
                <w:rFonts w:ascii="Arial" w:hAnsi="Arial" w:cs="Arial"/>
                <w:sz w:val="24"/>
                <w:szCs w:val="24"/>
              </w:rPr>
            </w:pPr>
            <w:r>
              <w:rPr>
                <w:rFonts w:ascii="Arial" w:hAnsi="Arial" w:cs="Arial"/>
                <w:sz w:val="24"/>
                <w:szCs w:val="24"/>
              </w:rPr>
              <w:t>T</w:t>
            </w:r>
            <w:r w:rsidRPr="00932C42">
              <w:rPr>
                <w:rFonts w:ascii="Arial" w:hAnsi="Arial" w:cs="Arial"/>
                <w:sz w:val="24"/>
                <w:szCs w:val="24"/>
              </w:rPr>
              <w:t xml:space="preserve">he draft explains that the baseline position can </w:t>
            </w:r>
            <w:r>
              <w:rPr>
                <w:rFonts w:ascii="Arial" w:hAnsi="Arial" w:cs="Arial"/>
                <w:sz w:val="24"/>
                <w:szCs w:val="24"/>
              </w:rPr>
              <w:t xml:space="preserve">also </w:t>
            </w:r>
            <w:r w:rsidRPr="00932C42">
              <w:rPr>
                <w:rFonts w:ascii="Arial" w:hAnsi="Arial" w:cs="Arial"/>
                <w:sz w:val="24"/>
                <w:szCs w:val="24"/>
              </w:rPr>
              <w:t xml:space="preserve">be improved, </w:t>
            </w:r>
            <w:r>
              <w:rPr>
                <w:rFonts w:ascii="Arial" w:hAnsi="Arial" w:cs="Arial"/>
                <w:sz w:val="24"/>
                <w:szCs w:val="24"/>
              </w:rPr>
              <w:t xml:space="preserve">by a range of measures.  It </w:t>
            </w:r>
            <w:r w:rsidRPr="00932C42">
              <w:rPr>
                <w:rFonts w:ascii="Arial" w:hAnsi="Arial" w:cs="Arial"/>
                <w:sz w:val="24"/>
                <w:szCs w:val="24"/>
              </w:rPr>
              <w:t xml:space="preserve">proposes a </w:t>
            </w:r>
            <w:r>
              <w:rPr>
                <w:rFonts w:ascii="Arial" w:hAnsi="Arial" w:cs="Arial"/>
                <w:sz w:val="24"/>
                <w:szCs w:val="24"/>
              </w:rPr>
              <w:t xml:space="preserve">core set of </w:t>
            </w:r>
            <w:r w:rsidRPr="00932C42">
              <w:rPr>
                <w:rFonts w:ascii="Arial" w:hAnsi="Arial" w:cs="Arial"/>
                <w:sz w:val="24"/>
                <w:szCs w:val="24"/>
              </w:rPr>
              <w:t>actions that Council can take</w:t>
            </w:r>
            <w:r>
              <w:rPr>
                <w:rFonts w:ascii="Arial" w:hAnsi="Arial" w:cs="Arial"/>
                <w:sz w:val="24"/>
                <w:szCs w:val="24"/>
              </w:rPr>
              <w:t>, which i</w:t>
            </w:r>
            <w:r w:rsidRPr="00932C42">
              <w:rPr>
                <w:rFonts w:ascii="Arial" w:hAnsi="Arial" w:cs="Arial"/>
                <w:sz w:val="24"/>
                <w:szCs w:val="24"/>
              </w:rPr>
              <w:t>f action</w:t>
            </w:r>
            <w:r>
              <w:rPr>
                <w:rFonts w:ascii="Arial" w:hAnsi="Arial" w:cs="Arial"/>
                <w:sz w:val="24"/>
                <w:szCs w:val="24"/>
              </w:rPr>
              <w:t>ed</w:t>
            </w:r>
            <w:r w:rsidRPr="00932C42">
              <w:rPr>
                <w:rFonts w:ascii="Arial" w:hAnsi="Arial" w:cs="Arial"/>
                <w:sz w:val="24"/>
                <w:szCs w:val="24"/>
              </w:rPr>
              <w:t xml:space="preserve"> </w:t>
            </w:r>
            <w:r>
              <w:rPr>
                <w:rFonts w:ascii="Arial" w:hAnsi="Arial" w:cs="Arial"/>
                <w:sz w:val="24"/>
                <w:szCs w:val="24"/>
              </w:rPr>
              <w:t xml:space="preserve">would have </w:t>
            </w:r>
            <w:r w:rsidRPr="00932C42">
              <w:rPr>
                <w:rFonts w:ascii="Arial" w:hAnsi="Arial" w:cs="Arial"/>
                <w:sz w:val="24"/>
                <w:szCs w:val="24"/>
              </w:rPr>
              <w:t>significant positive impacts</w:t>
            </w:r>
            <w:r>
              <w:rPr>
                <w:rFonts w:ascii="Arial" w:hAnsi="Arial" w:cs="Arial"/>
                <w:sz w:val="24"/>
                <w:szCs w:val="24"/>
              </w:rPr>
              <w:t xml:space="preserve"> on the Plans baseline, the </w:t>
            </w:r>
            <w:r w:rsidRPr="00932C42">
              <w:rPr>
                <w:rFonts w:ascii="Arial" w:hAnsi="Arial" w:cs="Arial"/>
                <w:sz w:val="24"/>
                <w:szCs w:val="24"/>
              </w:rPr>
              <w:t xml:space="preserve">HRA ICR </w:t>
            </w:r>
            <w:r>
              <w:rPr>
                <w:rFonts w:ascii="Arial" w:hAnsi="Arial" w:cs="Arial"/>
                <w:sz w:val="24"/>
                <w:szCs w:val="24"/>
              </w:rPr>
              <w:t>c</w:t>
            </w:r>
            <w:r w:rsidRPr="00932C42">
              <w:rPr>
                <w:rFonts w:ascii="Arial" w:hAnsi="Arial" w:cs="Arial"/>
                <w:sz w:val="24"/>
                <w:szCs w:val="24"/>
              </w:rPr>
              <w:t xml:space="preserve">ould be </w:t>
            </w:r>
            <w:r>
              <w:rPr>
                <w:rFonts w:ascii="Arial" w:hAnsi="Arial" w:cs="Arial"/>
                <w:sz w:val="24"/>
                <w:szCs w:val="24"/>
              </w:rPr>
              <w:t xml:space="preserve">held </w:t>
            </w:r>
            <w:r w:rsidRPr="00932C42">
              <w:rPr>
                <w:rFonts w:ascii="Arial" w:hAnsi="Arial" w:cs="Arial"/>
                <w:sz w:val="24"/>
                <w:szCs w:val="24"/>
              </w:rPr>
              <w:t xml:space="preserve">above the guideline throughout the </w:t>
            </w:r>
            <w:r>
              <w:rPr>
                <w:rFonts w:ascii="Arial" w:hAnsi="Arial" w:cs="Arial"/>
                <w:sz w:val="24"/>
                <w:szCs w:val="24"/>
              </w:rPr>
              <w:t xml:space="preserve">plan </w:t>
            </w:r>
            <w:r w:rsidRPr="00932C42">
              <w:rPr>
                <w:rFonts w:ascii="Arial" w:hAnsi="Arial" w:cs="Arial"/>
                <w:sz w:val="24"/>
                <w:szCs w:val="24"/>
              </w:rPr>
              <w:t>period</w:t>
            </w:r>
            <w:r>
              <w:rPr>
                <w:rFonts w:ascii="Arial" w:hAnsi="Arial" w:cs="Arial"/>
                <w:sz w:val="24"/>
                <w:szCs w:val="24"/>
              </w:rPr>
              <w:t>,</w:t>
            </w:r>
            <w:r w:rsidRPr="00932C42">
              <w:rPr>
                <w:rFonts w:ascii="Arial" w:hAnsi="Arial" w:cs="Arial"/>
                <w:sz w:val="24"/>
                <w:szCs w:val="24"/>
              </w:rPr>
              <w:t xml:space="preserve"> and new borrowing headroom </w:t>
            </w:r>
            <w:r>
              <w:rPr>
                <w:rFonts w:ascii="Arial" w:hAnsi="Arial" w:cs="Arial"/>
                <w:sz w:val="24"/>
                <w:szCs w:val="24"/>
              </w:rPr>
              <w:t xml:space="preserve">will </w:t>
            </w:r>
            <w:r w:rsidRPr="00932C42">
              <w:rPr>
                <w:rFonts w:ascii="Arial" w:hAnsi="Arial" w:cs="Arial"/>
                <w:sz w:val="24"/>
                <w:szCs w:val="24"/>
              </w:rPr>
              <w:t xml:space="preserve">steadily rise from as early as 2029/30. </w:t>
            </w:r>
          </w:p>
          <w:p w14:paraId="597C1721" w14:textId="6A452BBB" w:rsidR="0002046A" w:rsidRPr="0002046A" w:rsidRDefault="0002046A" w:rsidP="0002046A">
            <w:pPr>
              <w:pStyle w:val="PlainText"/>
              <w:numPr>
                <w:ilvl w:val="0"/>
                <w:numId w:val="8"/>
              </w:numPr>
              <w:tabs>
                <w:tab w:val="clear" w:pos="720"/>
                <w:tab w:val="num" w:pos="457"/>
              </w:tabs>
              <w:spacing w:before="240"/>
              <w:ind w:left="459" w:hanging="425"/>
              <w:rPr>
                <w:rFonts w:ascii="Arial" w:hAnsi="Arial" w:cs="Arial"/>
                <w:sz w:val="24"/>
                <w:szCs w:val="24"/>
              </w:rPr>
            </w:pPr>
            <w:r w:rsidRPr="00932C42">
              <w:rPr>
                <w:rFonts w:ascii="Arial" w:hAnsi="Arial" w:cs="Arial"/>
                <w:sz w:val="24"/>
                <w:szCs w:val="24"/>
              </w:rPr>
              <w:t xml:space="preserve">Cabinet is asked to approve the draft OCC HRA 40-year Business </w:t>
            </w:r>
            <w:r w:rsidR="00E370E0" w:rsidRPr="00932C42">
              <w:rPr>
                <w:rFonts w:ascii="Arial" w:hAnsi="Arial" w:cs="Arial"/>
                <w:sz w:val="24"/>
                <w:szCs w:val="24"/>
              </w:rPr>
              <w:t>Plan and</w:t>
            </w:r>
            <w:r w:rsidRPr="00932C42">
              <w:rPr>
                <w:rFonts w:ascii="Arial" w:hAnsi="Arial" w:cs="Arial"/>
                <w:sz w:val="24"/>
                <w:szCs w:val="24"/>
              </w:rPr>
              <w:t xml:space="preserve"> agree for officers to develop </w:t>
            </w:r>
            <w:r>
              <w:rPr>
                <w:rFonts w:ascii="Arial" w:hAnsi="Arial" w:cs="Arial"/>
                <w:sz w:val="24"/>
                <w:szCs w:val="24"/>
              </w:rPr>
              <w:t>actions</w:t>
            </w:r>
            <w:r w:rsidRPr="00932C42">
              <w:rPr>
                <w:rFonts w:ascii="Arial" w:hAnsi="Arial" w:cs="Arial"/>
                <w:sz w:val="24"/>
                <w:szCs w:val="24"/>
              </w:rPr>
              <w:t xml:space="preserve"> for enhancing the Plan</w:t>
            </w:r>
            <w:r>
              <w:rPr>
                <w:rFonts w:ascii="Arial" w:hAnsi="Arial" w:cs="Arial"/>
                <w:sz w:val="24"/>
                <w:szCs w:val="24"/>
              </w:rPr>
              <w:t xml:space="preserve"> baseline position</w:t>
            </w:r>
            <w:r w:rsidRPr="00932C42">
              <w:rPr>
                <w:rFonts w:ascii="Arial" w:hAnsi="Arial" w:cs="Arial"/>
                <w:sz w:val="24"/>
                <w:szCs w:val="24"/>
              </w:rPr>
              <w:t xml:space="preserve">; and </w:t>
            </w:r>
            <w:r>
              <w:rPr>
                <w:rFonts w:ascii="Arial" w:hAnsi="Arial" w:cs="Arial"/>
                <w:sz w:val="24"/>
                <w:szCs w:val="24"/>
              </w:rPr>
              <w:t xml:space="preserve">present proposals </w:t>
            </w:r>
            <w:r w:rsidRPr="00932C42">
              <w:rPr>
                <w:rFonts w:ascii="Arial" w:hAnsi="Arial" w:cs="Arial"/>
                <w:sz w:val="24"/>
                <w:szCs w:val="24"/>
              </w:rPr>
              <w:t>for determin</w:t>
            </w:r>
            <w:r>
              <w:rPr>
                <w:rFonts w:ascii="Arial" w:hAnsi="Arial" w:cs="Arial"/>
                <w:sz w:val="24"/>
                <w:szCs w:val="24"/>
              </w:rPr>
              <w:t>ing</w:t>
            </w:r>
            <w:r w:rsidRPr="00932C42">
              <w:rPr>
                <w:rFonts w:ascii="Arial" w:hAnsi="Arial" w:cs="Arial"/>
                <w:sz w:val="24"/>
                <w:szCs w:val="24"/>
              </w:rPr>
              <w:t xml:space="preserve"> </w:t>
            </w:r>
            <w:r>
              <w:rPr>
                <w:rFonts w:ascii="Arial" w:hAnsi="Arial" w:cs="Arial"/>
                <w:sz w:val="24"/>
                <w:szCs w:val="24"/>
              </w:rPr>
              <w:t xml:space="preserve">its future </w:t>
            </w:r>
            <w:r w:rsidRPr="00932C42">
              <w:rPr>
                <w:rFonts w:ascii="Arial" w:hAnsi="Arial" w:cs="Arial"/>
                <w:sz w:val="24"/>
                <w:szCs w:val="24"/>
              </w:rPr>
              <w:t xml:space="preserve">HRA </w:t>
            </w:r>
            <w:r>
              <w:rPr>
                <w:rFonts w:ascii="Arial" w:hAnsi="Arial" w:cs="Arial"/>
                <w:sz w:val="24"/>
                <w:szCs w:val="24"/>
              </w:rPr>
              <w:t xml:space="preserve">investment </w:t>
            </w:r>
            <w:r w:rsidRPr="00932C42">
              <w:rPr>
                <w:rFonts w:ascii="Arial" w:hAnsi="Arial" w:cs="Arial"/>
                <w:sz w:val="24"/>
                <w:szCs w:val="24"/>
              </w:rPr>
              <w:t xml:space="preserve">priorities and choices beyond 2030/31. </w:t>
            </w:r>
          </w:p>
          <w:p w14:paraId="08902389" w14:textId="77777777" w:rsidR="0002046A" w:rsidRPr="00932C42" w:rsidRDefault="0002046A" w:rsidP="0002046A">
            <w:pPr>
              <w:pStyle w:val="PlainText"/>
              <w:numPr>
                <w:ilvl w:val="0"/>
                <w:numId w:val="8"/>
              </w:numPr>
              <w:tabs>
                <w:tab w:val="clear" w:pos="720"/>
                <w:tab w:val="num" w:pos="457"/>
              </w:tabs>
              <w:autoSpaceDE w:val="0"/>
              <w:autoSpaceDN w:val="0"/>
              <w:adjustRightInd w:val="0"/>
              <w:spacing w:before="240"/>
              <w:ind w:left="459" w:hanging="425"/>
              <w:rPr>
                <w:rFonts w:ascii="Arial" w:hAnsi="Arial" w:cs="Arial"/>
                <w:sz w:val="24"/>
                <w:szCs w:val="24"/>
              </w:rPr>
            </w:pPr>
            <w:r w:rsidRPr="00932C42">
              <w:rPr>
                <w:rFonts w:ascii="Arial" w:hAnsi="Arial" w:cs="Arial"/>
                <w:sz w:val="24"/>
                <w:szCs w:val="24"/>
              </w:rPr>
              <w:t>Cabinet is asked to</w:t>
            </w:r>
            <w:r>
              <w:rPr>
                <w:rFonts w:ascii="Arial" w:hAnsi="Arial" w:cs="Arial"/>
                <w:sz w:val="24"/>
                <w:szCs w:val="24"/>
              </w:rPr>
              <w:t xml:space="preserve"> </w:t>
            </w:r>
            <w:r w:rsidRPr="00932C42">
              <w:rPr>
                <w:rFonts w:ascii="Arial" w:hAnsi="Arial" w:cs="Arial"/>
                <w:sz w:val="24"/>
                <w:szCs w:val="24"/>
              </w:rPr>
              <w:t xml:space="preserve">relate </w:t>
            </w:r>
            <w:r>
              <w:rPr>
                <w:rFonts w:ascii="Arial" w:hAnsi="Arial" w:cs="Arial"/>
                <w:sz w:val="24"/>
                <w:szCs w:val="24"/>
              </w:rPr>
              <w:t xml:space="preserve">this report </w:t>
            </w:r>
            <w:r w:rsidRPr="00932C42">
              <w:rPr>
                <w:rFonts w:ascii="Arial" w:hAnsi="Arial" w:cs="Arial"/>
                <w:sz w:val="24"/>
                <w:szCs w:val="24"/>
              </w:rPr>
              <w:t>to others also presented to December Cabinet covering the HRA Asset Management Strategy, HRA 5-Year Investment Programme and delivery arrangements, and HRA Tenant Engagement and service changes in housing management.</w:t>
            </w:r>
          </w:p>
          <w:p w14:paraId="1CAFEA61" w14:textId="77777777" w:rsidR="0002046A" w:rsidRPr="00932C42" w:rsidRDefault="0002046A" w:rsidP="004B0026">
            <w:pPr>
              <w:pStyle w:val="PlainText"/>
              <w:autoSpaceDE w:val="0"/>
              <w:autoSpaceDN w:val="0"/>
              <w:adjustRightInd w:val="0"/>
            </w:pPr>
          </w:p>
        </w:tc>
      </w:tr>
    </w:tbl>
    <w:p w14:paraId="7EF1D4D1" w14:textId="77777777" w:rsidR="0002046A" w:rsidRDefault="0002046A" w:rsidP="0002046A">
      <w:pPr>
        <w:pStyle w:val="PlainText"/>
        <w:rPr>
          <w:rFonts w:ascii="Arial" w:hAnsi="Arial" w:cs="Arial"/>
          <w:sz w:val="24"/>
          <w:szCs w:val="24"/>
        </w:rPr>
      </w:pPr>
    </w:p>
    <w:p w14:paraId="1E7E498B" w14:textId="36168AB2" w:rsidR="0002046A" w:rsidRPr="0093492D" w:rsidRDefault="00162584" w:rsidP="007A38EF">
      <w:pPr>
        <w:pStyle w:val="PlainText"/>
        <w:ind w:left="567" w:hanging="567"/>
        <w:rPr>
          <w:rFonts w:ascii="Arial" w:hAnsi="Arial" w:cs="Arial"/>
          <w:b/>
          <w:sz w:val="24"/>
          <w:szCs w:val="24"/>
        </w:rPr>
      </w:pPr>
      <w:r>
        <w:rPr>
          <w:rFonts w:ascii="Arial" w:hAnsi="Arial" w:cs="Arial"/>
          <w:b/>
          <w:sz w:val="24"/>
          <w:szCs w:val="24"/>
        </w:rPr>
        <w:t>2</w:t>
      </w:r>
      <w:r w:rsidR="0002046A">
        <w:rPr>
          <w:rFonts w:ascii="Arial" w:hAnsi="Arial" w:cs="Arial"/>
          <w:b/>
          <w:sz w:val="24"/>
          <w:szCs w:val="24"/>
        </w:rPr>
        <w:t xml:space="preserve">. </w:t>
      </w:r>
      <w:r w:rsidR="0002046A">
        <w:rPr>
          <w:rFonts w:ascii="Arial" w:hAnsi="Arial" w:cs="Arial"/>
          <w:b/>
          <w:sz w:val="24"/>
          <w:szCs w:val="24"/>
        </w:rPr>
        <w:tab/>
        <w:t>Reason for Decision and Options C</w:t>
      </w:r>
      <w:r w:rsidR="0002046A" w:rsidRPr="008C4283">
        <w:rPr>
          <w:rFonts w:ascii="Arial" w:hAnsi="Arial" w:cs="Arial"/>
          <w:b/>
          <w:sz w:val="24"/>
          <w:szCs w:val="24"/>
        </w:rPr>
        <w:t xml:space="preserve">onsidered </w:t>
      </w:r>
      <w:r w:rsidR="0002046A">
        <w:rPr>
          <w:rFonts w:ascii="Arial" w:hAnsi="Arial" w:cs="Arial"/>
        </w:rPr>
        <w:t xml:space="preserve"> </w:t>
      </w:r>
    </w:p>
    <w:p w14:paraId="6DD81776" w14:textId="77777777" w:rsidR="0002046A" w:rsidRDefault="0002046A" w:rsidP="0088098F">
      <w:pPr>
        <w:pStyle w:val="PlainText"/>
        <w:rPr>
          <w:rFonts w:ascii="Arial" w:hAnsi="Arial" w:cs="Arial"/>
          <w:sz w:val="24"/>
          <w:szCs w:val="24"/>
        </w:rPr>
      </w:pPr>
      <w:r w:rsidRPr="00324EFD">
        <w:rPr>
          <w:rFonts w:ascii="Arial" w:hAnsi="Arial" w:cs="Arial"/>
          <w:sz w:val="24"/>
          <w:szCs w:val="24"/>
        </w:rPr>
        <w:tab/>
      </w:r>
    </w:p>
    <w:p w14:paraId="1608EC07" w14:textId="77777777" w:rsidR="0002046A" w:rsidRDefault="0002046A" w:rsidP="0088098F">
      <w:pPr>
        <w:pStyle w:val="ListParagraph"/>
        <w:numPr>
          <w:ilvl w:val="1"/>
          <w:numId w:val="6"/>
        </w:numPr>
        <w:tabs>
          <w:tab w:val="clear" w:pos="426"/>
        </w:tabs>
        <w:spacing w:after="0"/>
        <w:ind w:left="567" w:hanging="567"/>
        <w:rPr>
          <w:rFonts w:cs="Arial"/>
        </w:rPr>
      </w:pPr>
      <w:r>
        <w:rPr>
          <w:rFonts w:cs="Arial"/>
        </w:rPr>
        <w:t xml:space="preserve">The </w:t>
      </w:r>
      <w:r w:rsidRPr="001746BE">
        <w:rPr>
          <w:rFonts w:cs="Arial"/>
        </w:rPr>
        <w:t xml:space="preserve">Housing Revenue Account </w:t>
      </w:r>
      <w:r>
        <w:rPr>
          <w:rFonts w:cs="Arial"/>
        </w:rPr>
        <w:t xml:space="preserve">(HRA) </w:t>
      </w:r>
      <w:r w:rsidRPr="001746BE">
        <w:rPr>
          <w:rFonts w:cs="Arial"/>
        </w:rPr>
        <w:t>is a ring-fenced account within the Council’s General Fund</w:t>
      </w:r>
      <w:r>
        <w:rPr>
          <w:rFonts w:cs="Arial"/>
        </w:rPr>
        <w:t>, which a</w:t>
      </w:r>
      <w:r w:rsidRPr="001746BE">
        <w:rPr>
          <w:rFonts w:cs="Arial"/>
        </w:rPr>
        <w:t>ccount</w:t>
      </w:r>
      <w:r>
        <w:rPr>
          <w:rFonts w:cs="Arial"/>
        </w:rPr>
        <w:t>s</w:t>
      </w:r>
      <w:r w:rsidRPr="001746BE">
        <w:rPr>
          <w:rFonts w:cs="Arial"/>
        </w:rPr>
        <w:t xml:space="preserve"> for transactions relating to council owned housing. Since the introduction of Self-Financing in April 2012 the Council has been able to</w:t>
      </w:r>
      <w:r>
        <w:rPr>
          <w:rFonts w:cs="Arial"/>
        </w:rPr>
        <w:t xml:space="preserve"> retain </w:t>
      </w:r>
      <w:r w:rsidRPr="001746BE">
        <w:rPr>
          <w:rFonts w:cs="Arial"/>
        </w:rPr>
        <w:t>the income generated by its</w:t>
      </w:r>
      <w:r>
        <w:rPr>
          <w:rFonts w:cs="Arial"/>
        </w:rPr>
        <w:t xml:space="preserve"> </w:t>
      </w:r>
      <w:r w:rsidRPr="001746BE">
        <w:rPr>
          <w:rFonts w:cs="Arial"/>
        </w:rPr>
        <w:t>housing</w:t>
      </w:r>
      <w:r>
        <w:rPr>
          <w:rFonts w:cs="Arial"/>
        </w:rPr>
        <w:t xml:space="preserve"> within </w:t>
      </w:r>
      <w:r w:rsidRPr="001746BE">
        <w:rPr>
          <w:rFonts w:cs="Arial"/>
        </w:rPr>
        <w:t>the</w:t>
      </w:r>
      <w:r>
        <w:rPr>
          <w:rFonts w:cs="Arial"/>
        </w:rPr>
        <w:t xml:space="preserve"> HRA</w:t>
      </w:r>
      <w:r w:rsidRPr="001746BE">
        <w:rPr>
          <w:rFonts w:cs="Arial"/>
        </w:rPr>
        <w:t xml:space="preserve"> and use</w:t>
      </w:r>
      <w:r>
        <w:rPr>
          <w:rFonts w:cs="Arial"/>
        </w:rPr>
        <w:t xml:space="preserve"> this </w:t>
      </w:r>
      <w:r w:rsidRPr="001746BE">
        <w:rPr>
          <w:rFonts w:cs="Arial"/>
        </w:rPr>
        <w:t xml:space="preserve">for the purpose of delivering services to tenants </w:t>
      </w:r>
      <w:r>
        <w:rPr>
          <w:rFonts w:cs="Arial"/>
        </w:rPr>
        <w:t xml:space="preserve">and </w:t>
      </w:r>
      <w:r w:rsidRPr="001746BE">
        <w:rPr>
          <w:rFonts w:cs="Arial"/>
        </w:rPr>
        <w:t xml:space="preserve">maintaining and investing in council housing.   </w:t>
      </w:r>
    </w:p>
    <w:p w14:paraId="6F537A38" w14:textId="77777777" w:rsidR="0002046A" w:rsidRDefault="0002046A" w:rsidP="0088098F">
      <w:pPr>
        <w:pStyle w:val="ListParagraph"/>
        <w:numPr>
          <w:ilvl w:val="0"/>
          <w:numId w:val="0"/>
        </w:numPr>
        <w:spacing w:after="0"/>
        <w:ind w:left="567"/>
        <w:rPr>
          <w:rFonts w:cs="Arial"/>
        </w:rPr>
      </w:pPr>
    </w:p>
    <w:p w14:paraId="7084A097" w14:textId="0EAC2680" w:rsidR="0002046A" w:rsidRPr="00AD7EE2" w:rsidRDefault="001414C4" w:rsidP="0088098F">
      <w:pPr>
        <w:pStyle w:val="ListParagraph"/>
        <w:numPr>
          <w:ilvl w:val="1"/>
          <w:numId w:val="6"/>
        </w:numPr>
        <w:tabs>
          <w:tab w:val="clear" w:pos="426"/>
        </w:tabs>
        <w:spacing w:after="0"/>
        <w:ind w:left="567" w:hanging="567"/>
        <w:rPr>
          <w:rFonts w:cs="Arial"/>
        </w:rPr>
      </w:pPr>
      <w:r>
        <w:rPr>
          <w:rFonts w:cs="Arial"/>
        </w:rPr>
        <w:t xml:space="preserve">The </w:t>
      </w:r>
      <w:r w:rsidR="0002046A" w:rsidRPr="00AD7EE2">
        <w:rPr>
          <w:rFonts w:cs="Arial"/>
        </w:rPr>
        <w:t xml:space="preserve">HRA Business Plans set out the funding available </w:t>
      </w:r>
      <w:r w:rsidR="0002046A">
        <w:rPr>
          <w:rFonts w:cs="Arial"/>
        </w:rPr>
        <w:t>to</w:t>
      </w:r>
      <w:r w:rsidR="0002046A" w:rsidRPr="00AD7EE2">
        <w:rPr>
          <w:rFonts w:cs="Arial"/>
        </w:rPr>
        <w:t xml:space="preserve"> the Council to manage and invest in </w:t>
      </w:r>
      <w:r w:rsidR="0002046A">
        <w:rPr>
          <w:rFonts w:cs="Arial"/>
        </w:rPr>
        <w:t xml:space="preserve">its </w:t>
      </w:r>
      <w:r w:rsidR="0002046A" w:rsidRPr="00AD7EE2">
        <w:rPr>
          <w:rFonts w:cs="Arial"/>
        </w:rPr>
        <w:t>social housin</w:t>
      </w:r>
      <w:r w:rsidR="0002046A">
        <w:rPr>
          <w:rFonts w:cs="Arial"/>
        </w:rPr>
        <w:t>g</w:t>
      </w:r>
      <w:r w:rsidR="0002046A" w:rsidRPr="00AD7EE2">
        <w:rPr>
          <w:rFonts w:cs="Arial"/>
        </w:rPr>
        <w:t xml:space="preserve">, while also funding the building </w:t>
      </w:r>
      <w:r w:rsidR="0002046A">
        <w:rPr>
          <w:rFonts w:cs="Arial"/>
        </w:rPr>
        <w:t xml:space="preserve">and buying </w:t>
      </w:r>
      <w:r w:rsidR="0002046A" w:rsidRPr="00AD7EE2">
        <w:rPr>
          <w:rFonts w:cs="Arial"/>
        </w:rPr>
        <w:t>of new council homes. The Plan diagnose</w:t>
      </w:r>
      <w:r w:rsidR="0002046A">
        <w:rPr>
          <w:rFonts w:cs="Arial"/>
        </w:rPr>
        <w:t>s</w:t>
      </w:r>
      <w:r w:rsidR="0002046A" w:rsidRPr="00AD7EE2">
        <w:rPr>
          <w:rFonts w:cs="Arial"/>
        </w:rPr>
        <w:t xml:space="preserve"> the ability of HRA finances </w:t>
      </w:r>
      <w:r w:rsidR="0002046A">
        <w:rPr>
          <w:rFonts w:cs="Arial"/>
        </w:rPr>
        <w:t xml:space="preserve">to fund </w:t>
      </w:r>
      <w:r w:rsidR="0002046A" w:rsidRPr="00AD7EE2">
        <w:rPr>
          <w:rFonts w:cs="Arial"/>
        </w:rPr>
        <w:t>the delivery of services over 40 years based on projections of current</w:t>
      </w:r>
      <w:r w:rsidR="0002046A">
        <w:rPr>
          <w:rFonts w:cs="Arial"/>
        </w:rPr>
        <w:t xml:space="preserve"> and medium-term</w:t>
      </w:r>
      <w:r w:rsidR="0002046A" w:rsidRPr="00AD7EE2">
        <w:rPr>
          <w:rFonts w:cs="Arial"/>
        </w:rPr>
        <w:t xml:space="preserve"> expenditure plans and assumptions. </w:t>
      </w:r>
      <w:r w:rsidR="0002046A">
        <w:rPr>
          <w:rFonts w:cs="Arial"/>
        </w:rPr>
        <w:t xml:space="preserve">Its outcomes – the health of the HRA - provides a </w:t>
      </w:r>
      <w:r w:rsidR="0088098F">
        <w:rPr>
          <w:rFonts w:cs="Arial"/>
        </w:rPr>
        <w:t>long-term</w:t>
      </w:r>
      <w:r w:rsidR="0002046A">
        <w:rPr>
          <w:rFonts w:cs="Arial"/>
        </w:rPr>
        <w:t xml:space="preserve"> line of sight/framework for guiding current and </w:t>
      </w:r>
      <w:r w:rsidR="00EC6E20">
        <w:rPr>
          <w:rFonts w:cs="Arial"/>
        </w:rPr>
        <w:t>medium-term</w:t>
      </w:r>
      <w:r w:rsidR="0002046A">
        <w:rPr>
          <w:rFonts w:cs="Arial"/>
        </w:rPr>
        <w:t xml:space="preserve"> decisions. </w:t>
      </w:r>
    </w:p>
    <w:p w14:paraId="2B11B093" w14:textId="77777777" w:rsidR="0002046A" w:rsidRPr="00AD7EE2" w:rsidRDefault="0002046A" w:rsidP="0002046A">
      <w:pPr>
        <w:rPr>
          <w:rFonts w:cs="Arial"/>
          <w:b/>
          <w:i/>
        </w:rPr>
      </w:pPr>
    </w:p>
    <w:p w14:paraId="52FE1493" w14:textId="7842C74C" w:rsidR="0002046A" w:rsidRPr="0088098F" w:rsidRDefault="0002046A" w:rsidP="00791A1C">
      <w:pPr>
        <w:pStyle w:val="ListParagraph"/>
        <w:numPr>
          <w:ilvl w:val="0"/>
          <w:numId w:val="0"/>
        </w:numPr>
        <w:spacing w:after="240"/>
        <w:ind w:left="567"/>
        <w:rPr>
          <w:rFonts w:cs="Arial"/>
          <w:b/>
          <w:iCs/>
        </w:rPr>
      </w:pPr>
      <w:r w:rsidRPr="003122F4">
        <w:rPr>
          <w:rFonts w:cs="Arial"/>
          <w:b/>
          <w:iCs/>
        </w:rPr>
        <w:lastRenderedPageBreak/>
        <w:t xml:space="preserve">Business Plan </w:t>
      </w:r>
      <w:r w:rsidR="00E370E0">
        <w:rPr>
          <w:rFonts w:cs="Arial"/>
          <w:b/>
          <w:iCs/>
        </w:rPr>
        <w:t xml:space="preserve">- </w:t>
      </w:r>
      <w:r w:rsidRPr="003122F4">
        <w:rPr>
          <w:rFonts w:cs="Arial"/>
          <w:b/>
          <w:iCs/>
        </w:rPr>
        <w:t>financial modelling</w:t>
      </w:r>
      <w:r>
        <w:rPr>
          <w:rFonts w:cs="Arial"/>
          <w:b/>
          <w:iCs/>
        </w:rPr>
        <w:t xml:space="preserve"> </w:t>
      </w:r>
      <w:r w:rsidRPr="003122F4">
        <w:rPr>
          <w:rFonts w:cs="Arial"/>
          <w:b/>
          <w:iCs/>
        </w:rPr>
        <w:t>inputs and assumptions</w:t>
      </w:r>
    </w:p>
    <w:p w14:paraId="7868362C" w14:textId="27DB52C7" w:rsidR="0002046A" w:rsidRPr="00E82E70" w:rsidRDefault="0002046A" w:rsidP="00791A1C">
      <w:pPr>
        <w:pStyle w:val="ListParagraph"/>
        <w:numPr>
          <w:ilvl w:val="1"/>
          <w:numId w:val="6"/>
        </w:numPr>
        <w:tabs>
          <w:tab w:val="clear" w:pos="426"/>
        </w:tabs>
        <w:spacing w:before="120" w:after="0"/>
        <w:ind w:left="567" w:hanging="567"/>
        <w:rPr>
          <w:rFonts w:cs="Arial"/>
        </w:rPr>
      </w:pPr>
      <w:r w:rsidRPr="001746BE">
        <w:rPr>
          <w:rFonts w:eastAsia="Calibri" w:cs="Arial"/>
          <w:lang w:val="en-US"/>
        </w:rPr>
        <w:t xml:space="preserve">The </w:t>
      </w:r>
      <w:r>
        <w:rPr>
          <w:rFonts w:eastAsia="Calibri" w:cs="Arial"/>
          <w:lang w:val="en-US"/>
        </w:rPr>
        <w:t xml:space="preserve">business plan </w:t>
      </w:r>
      <w:r w:rsidRPr="001746BE">
        <w:rPr>
          <w:rFonts w:eastAsia="Calibri" w:cs="Arial"/>
          <w:lang w:val="en-US"/>
        </w:rPr>
        <w:t>financ</w:t>
      </w:r>
      <w:r>
        <w:rPr>
          <w:rFonts w:eastAsia="Calibri" w:cs="Arial"/>
          <w:lang w:val="en-US"/>
        </w:rPr>
        <w:t>e</w:t>
      </w:r>
      <w:r w:rsidRPr="001746BE">
        <w:rPr>
          <w:rFonts w:eastAsia="Calibri" w:cs="Arial"/>
          <w:lang w:val="en-US"/>
        </w:rPr>
        <w:t xml:space="preserve"> model</w:t>
      </w:r>
      <w:r>
        <w:rPr>
          <w:rFonts w:eastAsia="Calibri" w:cs="Arial"/>
          <w:lang w:val="en-US"/>
        </w:rPr>
        <w:t xml:space="preserve"> </w:t>
      </w:r>
      <w:r w:rsidRPr="00B34B57">
        <w:rPr>
          <w:rFonts w:eastAsia="Calibri" w:cs="Arial"/>
          <w:lang w:val="en-US"/>
        </w:rPr>
        <w:t xml:space="preserve">simulates </w:t>
      </w:r>
      <w:r>
        <w:rPr>
          <w:rFonts w:eastAsia="Calibri" w:cs="Arial"/>
          <w:lang w:val="en-US"/>
        </w:rPr>
        <w:t xml:space="preserve">and forecasts </w:t>
      </w:r>
      <w:r w:rsidRPr="00B34B57">
        <w:rPr>
          <w:rFonts w:eastAsia="Calibri" w:cs="Arial"/>
          <w:lang w:val="en-US"/>
        </w:rPr>
        <w:t>HRA financial activity</w:t>
      </w:r>
      <w:r>
        <w:rPr>
          <w:rFonts w:eastAsia="Calibri" w:cs="Arial"/>
          <w:lang w:val="en-US"/>
        </w:rPr>
        <w:t xml:space="preserve"> to provide a guide to its long-term health.</w:t>
      </w:r>
      <w:r w:rsidRPr="00B34B57">
        <w:rPr>
          <w:rFonts w:eastAsia="Calibri" w:cs="Arial"/>
          <w:lang w:val="en-US"/>
        </w:rPr>
        <w:t xml:space="preserve"> </w:t>
      </w:r>
      <w:r>
        <w:rPr>
          <w:rFonts w:eastAsia="Calibri" w:cs="Arial"/>
          <w:lang w:val="en-US"/>
        </w:rPr>
        <w:t xml:space="preserve"> It </w:t>
      </w:r>
      <w:r w:rsidRPr="001746BE">
        <w:rPr>
          <w:rFonts w:eastAsia="Calibri" w:cs="Arial"/>
          <w:lang w:val="en-US"/>
        </w:rPr>
        <w:t>project</w:t>
      </w:r>
      <w:r>
        <w:rPr>
          <w:rFonts w:eastAsia="Calibri" w:cs="Arial"/>
          <w:lang w:val="en-US"/>
        </w:rPr>
        <w:t>s</w:t>
      </w:r>
      <w:r w:rsidRPr="001746BE">
        <w:rPr>
          <w:rFonts w:eastAsia="Calibri" w:cs="Arial"/>
          <w:lang w:val="en-US"/>
        </w:rPr>
        <w:t xml:space="preserve"> expected council housing income and cash flows </w:t>
      </w:r>
      <w:r>
        <w:rPr>
          <w:rFonts w:eastAsia="Calibri" w:cs="Arial"/>
          <w:lang w:val="en-US"/>
        </w:rPr>
        <w:t xml:space="preserve">for </w:t>
      </w:r>
      <w:r w:rsidRPr="001746BE">
        <w:rPr>
          <w:rFonts w:eastAsia="Calibri" w:cs="Arial"/>
          <w:lang w:val="en-US"/>
        </w:rPr>
        <w:t xml:space="preserve">managing, </w:t>
      </w:r>
      <w:r w:rsidR="00774F58" w:rsidRPr="001746BE">
        <w:rPr>
          <w:rFonts w:eastAsia="Calibri" w:cs="Arial"/>
          <w:lang w:val="en-US"/>
        </w:rPr>
        <w:t>maintaining,</w:t>
      </w:r>
      <w:r w:rsidRPr="001746BE">
        <w:rPr>
          <w:rFonts w:eastAsia="Calibri" w:cs="Arial"/>
          <w:lang w:val="en-US"/>
        </w:rPr>
        <w:t xml:space="preserve"> and investing in tenant services</w:t>
      </w:r>
      <w:r>
        <w:rPr>
          <w:rFonts w:eastAsia="Calibri" w:cs="Arial"/>
          <w:lang w:val="en-US"/>
        </w:rPr>
        <w:t xml:space="preserve"> and its </w:t>
      </w:r>
      <w:r w:rsidRPr="001746BE">
        <w:rPr>
          <w:rFonts w:eastAsia="Calibri" w:cs="Arial"/>
          <w:lang w:val="en-US"/>
        </w:rPr>
        <w:t xml:space="preserve">housing stock, </w:t>
      </w:r>
      <w:r>
        <w:rPr>
          <w:rFonts w:eastAsia="Calibri" w:cs="Arial"/>
          <w:lang w:val="en-US"/>
        </w:rPr>
        <w:t xml:space="preserve">and </w:t>
      </w:r>
      <w:r w:rsidRPr="001746BE">
        <w:rPr>
          <w:rFonts w:eastAsia="Calibri" w:cs="Arial"/>
          <w:lang w:val="en-US"/>
        </w:rPr>
        <w:t>developing new council</w:t>
      </w:r>
      <w:r>
        <w:rPr>
          <w:rFonts w:eastAsia="Calibri" w:cs="Arial"/>
          <w:lang w:val="en-US"/>
        </w:rPr>
        <w:t xml:space="preserve"> </w:t>
      </w:r>
      <w:r w:rsidRPr="001746BE">
        <w:rPr>
          <w:rFonts w:eastAsia="Calibri" w:cs="Arial"/>
          <w:lang w:val="en-US"/>
        </w:rPr>
        <w:t xml:space="preserve">homes over a </w:t>
      </w:r>
      <w:r w:rsidR="00EC6E20" w:rsidRPr="001746BE">
        <w:rPr>
          <w:rFonts w:eastAsia="Calibri" w:cs="Arial"/>
          <w:lang w:val="en-US"/>
        </w:rPr>
        <w:t>40-year</w:t>
      </w:r>
      <w:r w:rsidRPr="001746BE">
        <w:rPr>
          <w:rFonts w:eastAsia="Calibri" w:cs="Arial"/>
          <w:lang w:val="en-US"/>
        </w:rPr>
        <w:t xml:space="preserve"> period</w:t>
      </w:r>
      <w:r w:rsidR="00EC6E20">
        <w:rPr>
          <w:rFonts w:eastAsia="Calibri" w:cs="Arial"/>
          <w:lang w:val="en-US"/>
        </w:rPr>
        <w:t>:</w:t>
      </w:r>
      <w:r w:rsidRPr="001746BE">
        <w:rPr>
          <w:rFonts w:eastAsia="Calibri" w:cs="Arial"/>
          <w:lang w:val="en-US"/>
        </w:rPr>
        <w:t xml:space="preserve"> 1 April 2024 and ending on 31 March 2064. </w:t>
      </w:r>
    </w:p>
    <w:p w14:paraId="50F32FF8" w14:textId="77777777" w:rsidR="0002046A" w:rsidRPr="00013C03" w:rsidRDefault="0002046A" w:rsidP="00791A1C">
      <w:pPr>
        <w:pStyle w:val="ListParagraph"/>
        <w:numPr>
          <w:ilvl w:val="0"/>
          <w:numId w:val="0"/>
        </w:numPr>
        <w:tabs>
          <w:tab w:val="clear" w:pos="426"/>
        </w:tabs>
        <w:spacing w:after="0"/>
        <w:ind w:left="567"/>
        <w:rPr>
          <w:rFonts w:cs="Arial"/>
        </w:rPr>
      </w:pPr>
    </w:p>
    <w:p w14:paraId="1C840BD9" w14:textId="77777777" w:rsidR="0002046A" w:rsidRPr="00CD6DF9" w:rsidRDefault="0002046A" w:rsidP="0002046A">
      <w:pPr>
        <w:pStyle w:val="ListParagraph"/>
        <w:numPr>
          <w:ilvl w:val="1"/>
          <w:numId w:val="6"/>
        </w:numPr>
        <w:tabs>
          <w:tab w:val="clear" w:pos="426"/>
        </w:tabs>
        <w:spacing w:after="0"/>
        <w:ind w:left="567" w:hanging="567"/>
        <w:rPr>
          <w:rFonts w:cs="Arial"/>
        </w:rPr>
      </w:pPr>
      <w:r w:rsidRPr="001D553F">
        <w:rPr>
          <w:rFonts w:eastAsia="Aptos" w:cs="Arial"/>
          <w:kern w:val="2"/>
          <w14:ligatures w14:val="standardContextual"/>
        </w:rPr>
        <w:t>The</w:t>
      </w:r>
      <w:r>
        <w:rPr>
          <w:rFonts w:eastAsia="Aptos" w:cs="Arial"/>
          <w:kern w:val="2"/>
          <w14:ligatures w14:val="standardContextual"/>
        </w:rPr>
        <w:t xml:space="preserve"> financial model</w:t>
      </w:r>
      <w:r w:rsidRPr="001D553F">
        <w:rPr>
          <w:rFonts w:eastAsia="Aptos" w:cs="Arial"/>
          <w:kern w:val="2"/>
          <w14:ligatures w14:val="standardContextual"/>
        </w:rPr>
        <w:t xml:space="preserve"> </w:t>
      </w:r>
      <w:r>
        <w:rPr>
          <w:rFonts w:eastAsia="Aptos" w:cs="Arial"/>
          <w:kern w:val="2"/>
          <w14:ligatures w14:val="standardContextual"/>
        </w:rPr>
        <w:t xml:space="preserve">takes into account </w:t>
      </w:r>
      <w:r w:rsidRPr="00CD6DF9">
        <w:rPr>
          <w:rFonts w:eastAsia="Calibri" w:cs="Arial"/>
          <w:lang w:val="en-US"/>
        </w:rPr>
        <w:t xml:space="preserve">evidence of </w:t>
      </w:r>
      <w:r w:rsidRPr="00CD6DF9">
        <w:rPr>
          <w:rFonts w:eastAsia="Aptos" w:cs="Arial"/>
          <w:kern w:val="2"/>
          <w14:ligatures w14:val="standardContextual"/>
        </w:rPr>
        <w:t xml:space="preserve">current levels of HRA income and expenditure as approved through the budget setting </w:t>
      </w:r>
      <w:r>
        <w:rPr>
          <w:rFonts w:eastAsia="Aptos" w:cs="Arial"/>
          <w:kern w:val="2"/>
          <w14:ligatures w14:val="standardContextual"/>
        </w:rPr>
        <w:t xml:space="preserve">and </w:t>
      </w:r>
      <w:proofErr w:type="gramStart"/>
      <w:r w:rsidRPr="00CD6DF9">
        <w:rPr>
          <w:rFonts w:eastAsia="Aptos" w:cs="Arial"/>
          <w:kern w:val="2"/>
          <w14:ligatures w14:val="standardContextual"/>
        </w:rPr>
        <w:t>Medium Term</w:t>
      </w:r>
      <w:proofErr w:type="gramEnd"/>
      <w:r w:rsidRPr="00CD6DF9">
        <w:rPr>
          <w:rFonts w:eastAsia="Aptos" w:cs="Arial"/>
          <w:kern w:val="2"/>
          <w14:ligatures w14:val="standardContextual"/>
        </w:rPr>
        <w:t xml:space="preserve"> Financial Strategy (MTFS)</w:t>
      </w:r>
      <w:r>
        <w:rPr>
          <w:rFonts w:eastAsia="Aptos" w:cs="Arial"/>
          <w:kern w:val="2"/>
          <w14:ligatures w14:val="standardContextual"/>
        </w:rPr>
        <w:t xml:space="preserve"> process, which are also presented </w:t>
      </w:r>
      <w:r w:rsidRPr="00CD6DF9">
        <w:rPr>
          <w:rFonts w:eastAsia="Aptos" w:cs="Arial"/>
          <w:kern w:val="2"/>
          <w14:ligatures w14:val="standardContextual"/>
        </w:rPr>
        <w:t xml:space="preserve">to Cabinet </w:t>
      </w:r>
      <w:r>
        <w:rPr>
          <w:rFonts w:eastAsia="Aptos" w:cs="Arial"/>
          <w:kern w:val="2"/>
          <w14:ligatures w14:val="standardContextual"/>
        </w:rPr>
        <w:t>today. They include</w:t>
      </w:r>
      <w:r w:rsidRPr="00CD6DF9">
        <w:rPr>
          <w:rFonts w:eastAsia="Aptos" w:cs="Arial"/>
          <w:kern w:val="2"/>
          <w14:ligatures w14:val="standardContextual"/>
        </w:rPr>
        <w:t>:</w:t>
      </w:r>
    </w:p>
    <w:p w14:paraId="10C733A4" w14:textId="5E4801A7" w:rsidR="0002046A" w:rsidRPr="001414C4" w:rsidRDefault="0002046A" w:rsidP="0002046A">
      <w:pPr>
        <w:numPr>
          <w:ilvl w:val="0"/>
          <w:numId w:val="11"/>
        </w:numPr>
        <w:spacing w:before="240" w:after="0"/>
        <w:ind w:left="1134" w:hanging="425"/>
        <w:rPr>
          <w:rFonts w:eastAsia="Calibri" w:cs="Arial"/>
          <w:color w:val="auto"/>
          <w:lang w:val="en-US"/>
        </w:rPr>
      </w:pPr>
      <w:r>
        <w:rPr>
          <w:rFonts w:eastAsia="Calibri" w:cs="Arial"/>
          <w:lang w:val="en-US"/>
        </w:rPr>
        <w:t>C</w:t>
      </w:r>
      <w:r w:rsidRPr="001D553F">
        <w:rPr>
          <w:rFonts w:eastAsia="Calibri" w:cs="Arial"/>
          <w:lang w:val="en-US"/>
        </w:rPr>
        <w:t xml:space="preserve">urrent </w:t>
      </w:r>
      <w:r>
        <w:rPr>
          <w:rFonts w:eastAsia="Calibri" w:cs="Arial"/>
          <w:lang w:val="en-US"/>
        </w:rPr>
        <w:t xml:space="preserve">average </w:t>
      </w:r>
      <w:r w:rsidRPr="001D553F">
        <w:rPr>
          <w:rFonts w:eastAsia="Calibri" w:cs="Arial"/>
          <w:lang w:val="en-US"/>
        </w:rPr>
        <w:t>annual levels of HRA revenue income of</w:t>
      </w:r>
      <w:r w:rsidRPr="001414C4">
        <w:rPr>
          <w:rFonts w:eastAsia="Calibri" w:cs="Arial"/>
          <w:color w:val="auto"/>
          <w:lang w:val="en-US"/>
        </w:rPr>
        <w:t xml:space="preserve"> £</w:t>
      </w:r>
      <w:r w:rsidR="001414C4" w:rsidRPr="001414C4">
        <w:rPr>
          <w:rFonts w:eastAsia="Calibri" w:cs="Arial"/>
          <w:color w:val="auto"/>
          <w:lang w:val="en-US"/>
        </w:rPr>
        <w:t>57</w:t>
      </w:r>
      <w:r w:rsidRPr="001414C4">
        <w:rPr>
          <w:rFonts w:eastAsia="Calibri" w:cs="Arial"/>
          <w:color w:val="auto"/>
          <w:lang w:val="en-US"/>
        </w:rPr>
        <w:t>m generated from dwelling rents, service charges and non-dwelling rents.</w:t>
      </w:r>
    </w:p>
    <w:p w14:paraId="5CFF8528" w14:textId="77777777" w:rsidR="001414C4" w:rsidRPr="001414C4" w:rsidRDefault="001414C4" w:rsidP="001414C4">
      <w:pPr>
        <w:spacing w:before="120" w:after="0"/>
        <w:ind w:left="1134"/>
        <w:contextualSpacing/>
        <w:rPr>
          <w:rFonts w:eastAsia="Calibri" w:cs="Arial"/>
          <w:color w:val="auto"/>
          <w:lang w:val="en-US"/>
        </w:rPr>
      </w:pPr>
    </w:p>
    <w:p w14:paraId="498B0842" w14:textId="724D9E45" w:rsidR="0002046A" w:rsidRDefault="0002046A" w:rsidP="0002046A">
      <w:pPr>
        <w:numPr>
          <w:ilvl w:val="0"/>
          <w:numId w:val="11"/>
        </w:numPr>
        <w:spacing w:before="120" w:after="0"/>
        <w:ind w:left="1134" w:hanging="425"/>
        <w:contextualSpacing/>
        <w:rPr>
          <w:rFonts w:eastAsia="Calibri" w:cs="Arial"/>
          <w:lang w:val="en-US"/>
        </w:rPr>
      </w:pPr>
      <w:r w:rsidRPr="001414C4">
        <w:rPr>
          <w:rFonts w:eastAsia="Calibri" w:cs="Arial"/>
          <w:b/>
          <w:bCs/>
          <w:color w:val="auto"/>
          <w:lang w:val="en-US"/>
        </w:rPr>
        <w:t>£14</w:t>
      </w:r>
      <w:r w:rsidR="001414C4" w:rsidRPr="001414C4">
        <w:rPr>
          <w:rFonts w:eastAsia="Calibri" w:cs="Arial"/>
          <w:b/>
          <w:bCs/>
          <w:color w:val="auto"/>
          <w:lang w:val="en-US"/>
        </w:rPr>
        <w:t xml:space="preserve">2 </w:t>
      </w:r>
      <w:r w:rsidRPr="001414C4">
        <w:rPr>
          <w:rFonts w:eastAsia="Calibri" w:cs="Arial"/>
          <w:b/>
          <w:bCs/>
          <w:color w:val="auto"/>
          <w:lang w:val="en-US"/>
        </w:rPr>
        <w:t>m revenue expenditure</w:t>
      </w:r>
      <w:r w:rsidRPr="001414C4">
        <w:rPr>
          <w:rFonts w:eastAsia="Calibri" w:cs="Arial"/>
          <w:color w:val="auto"/>
          <w:lang w:val="en-US"/>
        </w:rPr>
        <w:t xml:space="preserve"> over the next 5 year,</w:t>
      </w:r>
      <w:r>
        <w:rPr>
          <w:rFonts w:eastAsia="Calibri" w:cs="Arial"/>
          <w:lang w:val="en-US"/>
        </w:rPr>
        <w:t xml:space="preserve"> </w:t>
      </w:r>
      <w:r w:rsidRPr="001D553F">
        <w:rPr>
          <w:rFonts w:eastAsia="Calibri" w:cs="Arial"/>
          <w:lang w:val="en-US"/>
        </w:rPr>
        <w:t xml:space="preserve">allocated for day-to-day general management </w:t>
      </w:r>
      <w:r>
        <w:rPr>
          <w:rFonts w:eastAsia="Calibri" w:cs="Arial"/>
          <w:lang w:val="en-US"/>
        </w:rPr>
        <w:t xml:space="preserve">costs </w:t>
      </w:r>
      <w:r w:rsidRPr="001D553F">
        <w:rPr>
          <w:rFonts w:eastAsia="Calibri" w:cs="Arial"/>
          <w:lang w:val="en-US"/>
        </w:rPr>
        <w:t>in providing services to tenants and</w:t>
      </w:r>
      <w:r>
        <w:rPr>
          <w:rFonts w:eastAsia="Calibri" w:cs="Arial"/>
          <w:lang w:val="en-US"/>
        </w:rPr>
        <w:t xml:space="preserve"> for</w:t>
      </w:r>
      <w:r w:rsidRPr="00ED0BCD">
        <w:rPr>
          <w:rFonts w:ascii="Noto Sans" w:eastAsia="Calibri" w:hAnsi="Noto Sans" w:cs="Noto Sans"/>
          <w:lang w:val="en-US"/>
        </w:rPr>
        <w:t xml:space="preserve"> carrying out responsive and cyclical repairs</w:t>
      </w:r>
      <w:r w:rsidRPr="001D553F">
        <w:rPr>
          <w:rFonts w:eastAsia="Calibri" w:cs="Arial"/>
          <w:lang w:val="en-US"/>
        </w:rPr>
        <w:t xml:space="preserve">. </w:t>
      </w:r>
      <w:r>
        <w:rPr>
          <w:rFonts w:eastAsia="Calibri" w:cs="Arial"/>
          <w:lang w:val="en-US"/>
        </w:rPr>
        <w:t>This include</w:t>
      </w:r>
      <w:r w:rsidR="00030243">
        <w:rPr>
          <w:rFonts w:eastAsia="Calibri" w:cs="Arial"/>
          <w:lang w:val="en-US"/>
        </w:rPr>
        <w:t>s</w:t>
      </w:r>
      <w:r>
        <w:rPr>
          <w:rFonts w:eastAsia="Calibri" w:cs="Arial"/>
          <w:lang w:val="en-US"/>
        </w:rPr>
        <w:t xml:space="preserve"> </w:t>
      </w:r>
      <w:r>
        <w:rPr>
          <w:rFonts w:cs="Arial"/>
        </w:rPr>
        <w:t>p</w:t>
      </w:r>
      <w:r w:rsidRPr="00BA631F">
        <w:rPr>
          <w:rFonts w:cs="Arial"/>
        </w:rPr>
        <w:t xml:space="preserve">roviding </w:t>
      </w:r>
      <w:r>
        <w:rPr>
          <w:rFonts w:cs="Arial"/>
        </w:rPr>
        <w:t xml:space="preserve">the </w:t>
      </w:r>
      <w:r w:rsidRPr="00BA631F">
        <w:rPr>
          <w:rFonts w:cs="Arial"/>
        </w:rPr>
        <w:t xml:space="preserve">housing </w:t>
      </w:r>
      <w:r>
        <w:rPr>
          <w:rFonts w:cs="Arial"/>
        </w:rPr>
        <w:t xml:space="preserve">and tenancy </w:t>
      </w:r>
      <w:r w:rsidRPr="00BA631F">
        <w:rPr>
          <w:rFonts w:cs="Arial"/>
        </w:rPr>
        <w:t>managemen</w:t>
      </w:r>
      <w:r w:rsidR="00030243">
        <w:rPr>
          <w:rFonts w:cs="Arial"/>
        </w:rPr>
        <w:t xml:space="preserve">t, </w:t>
      </w:r>
      <w:r w:rsidRPr="00BA631F">
        <w:rPr>
          <w:rFonts w:cs="Arial"/>
        </w:rPr>
        <w:t>repai</w:t>
      </w:r>
      <w:r>
        <w:rPr>
          <w:rFonts w:cs="Arial"/>
        </w:rPr>
        <w:t>rs</w:t>
      </w:r>
      <w:r w:rsidR="00030243">
        <w:rPr>
          <w:rFonts w:cs="Arial"/>
        </w:rPr>
        <w:t xml:space="preserve"> and</w:t>
      </w:r>
      <w:r>
        <w:rPr>
          <w:rFonts w:cs="Arial"/>
        </w:rPr>
        <w:t xml:space="preserve"> </w:t>
      </w:r>
      <w:r w:rsidRPr="00BA631F">
        <w:rPr>
          <w:rFonts w:cs="Arial"/>
        </w:rPr>
        <w:t>maintenance</w:t>
      </w:r>
      <w:r w:rsidR="00030243">
        <w:rPr>
          <w:rFonts w:cs="Arial"/>
        </w:rPr>
        <w:t>,</w:t>
      </w:r>
      <w:r>
        <w:rPr>
          <w:rFonts w:cs="Arial"/>
        </w:rPr>
        <w:t xml:space="preserve"> and </w:t>
      </w:r>
      <w:r w:rsidRPr="00BA631F">
        <w:rPr>
          <w:rFonts w:cs="Arial"/>
        </w:rPr>
        <w:t>management services for tenants</w:t>
      </w:r>
      <w:r>
        <w:rPr>
          <w:rFonts w:cs="Arial"/>
        </w:rPr>
        <w:t>.</w:t>
      </w:r>
    </w:p>
    <w:p w14:paraId="75C8AE34" w14:textId="77777777" w:rsidR="0002046A" w:rsidRPr="00D752C4" w:rsidRDefault="0002046A" w:rsidP="0002046A">
      <w:pPr>
        <w:spacing w:before="120"/>
        <w:ind w:left="1134"/>
        <w:contextualSpacing/>
        <w:rPr>
          <w:rFonts w:eastAsia="Calibri" w:cs="Arial"/>
          <w:lang w:val="en-US"/>
        </w:rPr>
      </w:pPr>
    </w:p>
    <w:p w14:paraId="2ED0061D" w14:textId="77777777" w:rsidR="0002046A" w:rsidRPr="00931BD2" w:rsidRDefault="0002046A" w:rsidP="0002046A">
      <w:pPr>
        <w:numPr>
          <w:ilvl w:val="0"/>
          <w:numId w:val="11"/>
        </w:numPr>
        <w:spacing w:before="120" w:after="0"/>
        <w:ind w:left="1134" w:hanging="425"/>
        <w:contextualSpacing/>
        <w:rPr>
          <w:rFonts w:eastAsia="Calibri" w:cs="Arial"/>
          <w:lang w:val="en-US"/>
        </w:rPr>
      </w:pPr>
      <w:r w:rsidRPr="001414C4">
        <w:rPr>
          <w:rFonts w:eastAsia="Calibri" w:cs="Arial"/>
          <w:b/>
          <w:bCs/>
          <w:color w:val="auto"/>
          <w:lang w:val="en-US"/>
        </w:rPr>
        <w:t>£176.5m capital Investment</w:t>
      </w:r>
      <w:r w:rsidRPr="001414C4">
        <w:rPr>
          <w:rFonts w:eastAsia="Calibri" w:cs="Arial"/>
          <w:color w:val="auto"/>
          <w:lang w:val="en-US"/>
        </w:rPr>
        <w:t xml:space="preserve"> over 5 years - </w:t>
      </w:r>
      <w:r w:rsidRPr="00D752C4">
        <w:rPr>
          <w:rFonts w:ascii="Noto Sans" w:eastAsia="Calibri" w:hAnsi="Noto Sans" w:cs="Noto Sans"/>
          <w:lang w:val="en-US"/>
        </w:rPr>
        <w:t xml:space="preserve">2025/26 to 2030/31 </w:t>
      </w:r>
      <w:r w:rsidRPr="00D752C4">
        <w:rPr>
          <w:rFonts w:eastAsia="Calibri" w:cs="Arial"/>
          <w:lang w:val="en-US"/>
        </w:rPr>
        <w:t xml:space="preserve">to support </w:t>
      </w:r>
      <w:r w:rsidRPr="00931BD2">
        <w:rPr>
          <w:rFonts w:eastAsia="Calibri" w:cs="Arial"/>
          <w:lang w:val="en-US"/>
        </w:rPr>
        <w:t xml:space="preserve">delivery of major works and components for existing and future homes (52% of total), energy efficiency and </w:t>
      </w:r>
      <w:proofErr w:type="spellStart"/>
      <w:r w:rsidRPr="00931BD2">
        <w:rPr>
          <w:rFonts w:eastAsia="Calibri" w:cs="Arial"/>
          <w:lang w:val="en-US"/>
        </w:rPr>
        <w:t>decarbonisation</w:t>
      </w:r>
      <w:proofErr w:type="spellEnd"/>
      <w:r w:rsidRPr="00931BD2">
        <w:rPr>
          <w:rFonts w:eastAsia="Calibri" w:cs="Arial"/>
          <w:lang w:val="en-US"/>
        </w:rPr>
        <w:t xml:space="preserve"> of the housing stock (28%), building safety and regulatory compliance works (20%) over the next 5 years. Cabinet is asked via a separate report to agree a new 5-Year Investment </w:t>
      </w:r>
      <w:proofErr w:type="spellStart"/>
      <w:r w:rsidRPr="00931BD2">
        <w:rPr>
          <w:rFonts w:eastAsia="Calibri" w:cs="Arial"/>
          <w:lang w:val="en-US"/>
        </w:rPr>
        <w:t>Programme</w:t>
      </w:r>
      <w:proofErr w:type="spellEnd"/>
      <w:r w:rsidRPr="00931BD2">
        <w:rPr>
          <w:rFonts w:eastAsia="Calibri" w:cs="Arial"/>
          <w:lang w:val="en-US"/>
        </w:rPr>
        <w:t xml:space="preserve"> for </w:t>
      </w:r>
      <w:r w:rsidRPr="00931BD2">
        <w:rPr>
          <w:rFonts w:cs="Arial"/>
        </w:rPr>
        <w:t>investing in existing homes and estates, to ensure that they are well managed, safe, and maintained at decent and energy efficient homes standards.</w:t>
      </w:r>
    </w:p>
    <w:p w14:paraId="7D875EDF" w14:textId="77777777" w:rsidR="0002046A" w:rsidRPr="001414C4" w:rsidRDefault="0002046A" w:rsidP="0002046A">
      <w:pPr>
        <w:spacing w:before="120"/>
        <w:contextualSpacing/>
        <w:rPr>
          <w:rFonts w:eastAsia="Calibri" w:cs="Arial"/>
          <w:color w:val="auto"/>
          <w:lang w:val="en-US"/>
        </w:rPr>
      </w:pPr>
    </w:p>
    <w:p w14:paraId="4D4F9722" w14:textId="7AAB9B9E" w:rsidR="0002046A" w:rsidRPr="00917F94" w:rsidRDefault="0002046A" w:rsidP="0002046A">
      <w:pPr>
        <w:numPr>
          <w:ilvl w:val="0"/>
          <w:numId w:val="11"/>
        </w:numPr>
        <w:spacing w:before="120" w:after="0"/>
        <w:ind w:left="1134" w:hanging="425"/>
        <w:contextualSpacing/>
        <w:rPr>
          <w:rFonts w:eastAsia="Calibri" w:cs="Arial"/>
          <w:lang w:val="en-US"/>
        </w:rPr>
      </w:pPr>
      <w:r w:rsidRPr="001414C4">
        <w:rPr>
          <w:rFonts w:eastAsia="Calibri" w:cs="Arial"/>
          <w:b/>
          <w:bCs/>
          <w:color w:val="auto"/>
          <w:lang w:val="en-US"/>
        </w:rPr>
        <w:t>£3</w:t>
      </w:r>
      <w:r w:rsidR="001414C4" w:rsidRPr="001414C4">
        <w:rPr>
          <w:rFonts w:eastAsia="Calibri" w:cs="Arial"/>
          <w:b/>
          <w:bCs/>
          <w:color w:val="auto"/>
          <w:lang w:val="en-US"/>
        </w:rPr>
        <w:t>56</w:t>
      </w:r>
      <w:r w:rsidRPr="001414C4">
        <w:rPr>
          <w:rFonts w:eastAsia="Calibri" w:cs="Arial"/>
          <w:b/>
          <w:bCs/>
          <w:color w:val="auto"/>
          <w:lang w:val="en-US"/>
        </w:rPr>
        <w:t>m for delivering the Council’s ambitious housing development</w:t>
      </w:r>
      <w:r w:rsidRPr="001414C4">
        <w:rPr>
          <w:rFonts w:eastAsia="Calibri" w:cs="Arial"/>
          <w:color w:val="auto"/>
          <w:lang w:val="en-US"/>
        </w:rPr>
        <w:t xml:space="preserve"> </w:t>
      </w:r>
      <w:r>
        <w:rPr>
          <w:rFonts w:eastAsia="Calibri" w:cs="Arial"/>
          <w:lang w:val="en-US"/>
        </w:rPr>
        <w:t>for</w:t>
      </w:r>
      <w:r w:rsidRPr="001D553F">
        <w:rPr>
          <w:rFonts w:eastAsia="Calibri" w:cs="Arial"/>
          <w:lang w:val="en-US"/>
        </w:rPr>
        <w:t xml:space="preserve"> </w:t>
      </w:r>
      <w:r>
        <w:rPr>
          <w:rFonts w:cs="Arial"/>
        </w:rPr>
        <w:t>b</w:t>
      </w:r>
      <w:r w:rsidRPr="00475EBD">
        <w:rPr>
          <w:rFonts w:cs="Arial"/>
        </w:rPr>
        <w:t xml:space="preserve">uilding </w:t>
      </w:r>
      <w:r>
        <w:rPr>
          <w:rFonts w:cs="Arial"/>
        </w:rPr>
        <w:t>and acquiring 1095 n</w:t>
      </w:r>
      <w:r w:rsidRPr="00475EBD">
        <w:rPr>
          <w:rFonts w:cs="Arial"/>
        </w:rPr>
        <w:t xml:space="preserve">ew homes </w:t>
      </w:r>
      <w:r>
        <w:rPr>
          <w:rFonts w:cs="Arial"/>
        </w:rPr>
        <w:t>to</w:t>
      </w:r>
      <w:r w:rsidRPr="00475EBD">
        <w:rPr>
          <w:rFonts w:cs="Arial"/>
        </w:rPr>
        <w:t xml:space="preserve"> provide a range of much-needed quality</w:t>
      </w:r>
      <w:r>
        <w:rPr>
          <w:rFonts w:cs="Arial"/>
        </w:rPr>
        <w:t xml:space="preserve"> affordable and </w:t>
      </w:r>
      <w:r w:rsidRPr="00475EBD">
        <w:rPr>
          <w:rFonts w:cs="Arial"/>
        </w:rPr>
        <w:t xml:space="preserve">social housing </w:t>
      </w:r>
      <w:r w:rsidRPr="001D553F">
        <w:rPr>
          <w:rFonts w:eastAsia="Calibri" w:cs="Arial"/>
          <w:lang w:val="en-US"/>
        </w:rPr>
        <w:t>by 2030/31</w:t>
      </w:r>
      <w:r>
        <w:rPr>
          <w:rFonts w:eastAsia="Calibri" w:cs="Arial"/>
          <w:lang w:val="en-US"/>
        </w:rPr>
        <w:t>.</w:t>
      </w:r>
      <w:r w:rsidRPr="001D553F">
        <w:rPr>
          <w:rFonts w:eastAsia="Calibri" w:cs="Arial"/>
          <w:lang w:val="en-US"/>
        </w:rPr>
        <w:t xml:space="preserve"> </w:t>
      </w:r>
      <w:r>
        <w:rPr>
          <w:rFonts w:eastAsia="Calibri" w:cs="Arial"/>
          <w:lang w:val="en-US"/>
        </w:rPr>
        <w:t xml:space="preserve">This </w:t>
      </w:r>
      <w:r w:rsidRPr="001D553F">
        <w:rPr>
          <w:rFonts w:eastAsia="Calibri" w:cs="Arial"/>
          <w:lang w:val="en-US"/>
        </w:rPr>
        <w:t>includ</w:t>
      </w:r>
      <w:r>
        <w:rPr>
          <w:rFonts w:eastAsia="Calibri" w:cs="Arial"/>
          <w:lang w:val="en-US"/>
        </w:rPr>
        <w:t>es</w:t>
      </w:r>
      <w:r w:rsidRPr="001D553F">
        <w:rPr>
          <w:rFonts w:eastAsia="Calibri" w:cs="Arial"/>
          <w:lang w:val="en-US"/>
        </w:rPr>
        <w:t xml:space="preserve"> </w:t>
      </w:r>
      <w:r>
        <w:rPr>
          <w:rFonts w:eastAsia="Calibri" w:cs="Arial"/>
          <w:lang w:val="en-US"/>
        </w:rPr>
        <w:t xml:space="preserve">HRA reserves and </w:t>
      </w:r>
      <w:r w:rsidRPr="001D553F">
        <w:rPr>
          <w:rFonts w:eastAsia="Calibri" w:cs="Arial"/>
          <w:lang w:val="en-US"/>
        </w:rPr>
        <w:t>borrowin</w:t>
      </w:r>
      <w:r>
        <w:rPr>
          <w:rFonts w:eastAsia="Calibri" w:cs="Arial"/>
          <w:lang w:val="en-US"/>
        </w:rPr>
        <w:t xml:space="preserve">g, </w:t>
      </w:r>
      <w:r w:rsidRPr="001D553F">
        <w:rPr>
          <w:rFonts w:eastAsia="Calibri" w:cs="Arial"/>
          <w:lang w:val="en-US"/>
        </w:rPr>
        <w:t xml:space="preserve">grants </w:t>
      </w:r>
      <w:r>
        <w:rPr>
          <w:rFonts w:eastAsia="Calibri" w:cs="Arial"/>
          <w:lang w:val="en-US"/>
        </w:rPr>
        <w:t xml:space="preserve">and </w:t>
      </w:r>
      <w:r w:rsidRPr="001D553F">
        <w:rPr>
          <w:rFonts w:eastAsia="Calibri" w:cs="Arial"/>
          <w:lang w:val="en-US"/>
        </w:rPr>
        <w:t>capital receipts</w:t>
      </w:r>
      <w:r w:rsidR="00E370E0">
        <w:rPr>
          <w:rFonts w:eastAsia="Calibri" w:cs="Arial"/>
          <w:lang w:val="en-US"/>
        </w:rPr>
        <w:t>.</w:t>
      </w:r>
    </w:p>
    <w:p w14:paraId="0165D297" w14:textId="77777777" w:rsidR="0002046A" w:rsidRPr="00917F94" w:rsidRDefault="0002046A" w:rsidP="0002046A">
      <w:pPr>
        <w:rPr>
          <w:rFonts w:cs="Arial"/>
        </w:rPr>
      </w:pPr>
    </w:p>
    <w:p w14:paraId="3A4C9929" w14:textId="77777777" w:rsidR="0002046A" w:rsidRDefault="0002046A" w:rsidP="0002046A">
      <w:pPr>
        <w:pStyle w:val="ListParagraph"/>
        <w:numPr>
          <w:ilvl w:val="1"/>
          <w:numId w:val="6"/>
        </w:numPr>
        <w:tabs>
          <w:tab w:val="clear" w:pos="426"/>
        </w:tabs>
        <w:spacing w:after="0"/>
        <w:ind w:left="567" w:hanging="567"/>
        <w:rPr>
          <w:rFonts w:cs="Arial"/>
        </w:rPr>
      </w:pPr>
      <w:r>
        <w:rPr>
          <w:rFonts w:cs="Arial"/>
        </w:rPr>
        <w:t xml:space="preserve">In addition, the modelling </w:t>
      </w:r>
      <w:r>
        <w:rPr>
          <w:rFonts w:eastAsia="Calibri" w:cs="Arial"/>
          <w:lang w:val="en-US"/>
        </w:rPr>
        <w:t>draws on</w:t>
      </w:r>
      <w:r w:rsidRPr="00B5675D">
        <w:rPr>
          <w:rFonts w:eastAsia="Calibri" w:cs="Arial"/>
          <w:lang w:val="en-US"/>
        </w:rPr>
        <w:t xml:space="preserve"> wide</w:t>
      </w:r>
      <w:r>
        <w:rPr>
          <w:rFonts w:eastAsia="Calibri" w:cs="Arial"/>
          <w:lang w:val="en-US"/>
        </w:rPr>
        <w:t>r assumptions</w:t>
      </w:r>
      <w:r>
        <w:rPr>
          <w:rFonts w:cs="Arial"/>
        </w:rPr>
        <w:t xml:space="preserve"> around local and </w:t>
      </w:r>
      <w:r w:rsidRPr="00BF4E63">
        <w:rPr>
          <w:rFonts w:cs="Arial"/>
        </w:rPr>
        <w:t>national policy,</w:t>
      </w:r>
      <w:r>
        <w:rPr>
          <w:rFonts w:cs="Arial"/>
        </w:rPr>
        <w:t xml:space="preserve"> </w:t>
      </w:r>
      <w:r w:rsidRPr="00BF4E63">
        <w:rPr>
          <w:rFonts w:cs="Arial"/>
        </w:rPr>
        <w:t>local housing market and macroeconomic conditions</w:t>
      </w:r>
      <w:r>
        <w:rPr>
          <w:rFonts w:cs="Arial"/>
        </w:rPr>
        <w:t xml:space="preserve">. </w:t>
      </w:r>
      <w:r w:rsidRPr="00BF4E63">
        <w:rPr>
          <w:rFonts w:cs="Arial"/>
        </w:rPr>
        <w:t>The</w:t>
      </w:r>
      <w:r>
        <w:rPr>
          <w:rFonts w:cs="Arial"/>
        </w:rPr>
        <w:t>se include</w:t>
      </w:r>
      <w:r w:rsidRPr="00362317">
        <w:rPr>
          <w:rFonts w:cs="Arial"/>
        </w:rPr>
        <w:t xml:space="preserve">: </w:t>
      </w:r>
    </w:p>
    <w:p w14:paraId="279C9D7A" w14:textId="77777777" w:rsidR="0002046A" w:rsidRPr="00F36045" w:rsidRDefault="0002046A" w:rsidP="0002046A">
      <w:pPr>
        <w:pStyle w:val="ListParagraph"/>
        <w:numPr>
          <w:ilvl w:val="0"/>
          <w:numId w:val="10"/>
        </w:numPr>
        <w:tabs>
          <w:tab w:val="clear" w:pos="426"/>
        </w:tabs>
        <w:spacing w:before="120" w:after="0"/>
        <w:ind w:left="1134" w:hanging="426"/>
        <w:rPr>
          <w:rFonts w:cs="Arial"/>
        </w:rPr>
      </w:pPr>
      <w:r w:rsidRPr="00B34B57">
        <w:rPr>
          <w:rFonts w:eastAsia="Calibri" w:cs="Arial"/>
          <w:lang w:val="en-US"/>
        </w:rPr>
        <w:t xml:space="preserve">continued management of HRA </w:t>
      </w:r>
      <w:r>
        <w:rPr>
          <w:rFonts w:eastAsia="Calibri" w:cs="Arial"/>
          <w:lang w:val="en-US"/>
        </w:rPr>
        <w:t xml:space="preserve">expenditure </w:t>
      </w:r>
      <w:r w:rsidRPr="00B34B57">
        <w:rPr>
          <w:rFonts w:eastAsia="Calibri" w:cs="Arial"/>
          <w:lang w:val="en-US"/>
        </w:rPr>
        <w:t xml:space="preserve">in line with </w:t>
      </w:r>
      <w:r>
        <w:rPr>
          <w:rFonts w:eastAsia="Calibri" w:cs="Arial"/>
          <w:lang w:val="en-US"/>
        </w:rPr>
        <w:t xml:space="preserve">approved </w:t>
      </w:r>
      <w:r w:rsidRPr="00B34B57">
        <w:rPr>
          <w:rFonts w:eastAsia="Calibri" w:cs="Arial"/>
          <w:lang w:val="en-US"/>
        </w:rPr>
        <w:t>budgets and policies with</w:t>
      </w:r>
      <w:r>
        <w:rPr>
          <w:rFonts w:eastAsia="Calibri" w:cs="Arial"/>
          <w:lang w:val="en-US"/>
        </w:rPr>
        <w:t>in</w:t>
      </w:r>
      <w:r w:rsidRPr="00B34B57">
        <w:rPr>
          <w:rFonts w:eastAsia="Calibri" w:cs="Arial"/>
          <w:lang w:val="en-US"/>
        </w:rPr>
        <w:t xml:space="preserve"> </w:t>
      </w:r>
      <w:r>
        <w:rPr>
          <w:rFonts w:eastAsia="Calibri" w:cs="Arial"/>
          <w:lang w:val="en-US"/>
        </w:rPr>
        <w:t>the</w:t>
      </w:r>
      <w:r w:rsidRPr="00B34B57">
        <w:rPr>
          <w:rFonts w:eastAsia="Calibri" w:cs="Arial"/>
          <w:lang w:val="en-US"/>
        </w:rPr>
        <w:t xml:space="preserve"> MTF</w:t>
      </w:r>
      <w:r>
        <w:rPr>
          <w:rFonts w:eastAsia="Calibri" w:cs="Arial"/>
          <w:lang w:val="en-US"/>
        </w:rPr>
        <w:t>P.</w:t>
      </w:r>
    </w:p>
    <w:p w14:paraId="3E521F9F" w14:textId="77777777" w:rsidR="0002046A" w:rsidRPr="00E82E70" w:rsidRDefault="0002046A" w:rsidP="0002046A">
      <w:pPr>
        <w:pStyle w:val="ListParagraph"/>
        <w:numPr>
          <w:ilvl w:val="0"/>
          <w:numId w:val="10"/>
        </w:numPr>
        <w:tabs>
          <w:tab w:val="clear" w:pos="426"/>
        </w:tabs>
        <w:spacing w:before="120" w:after="0"/>
        <w:ind w:left="1134" w:hanging="425"/>
        <w:rPr>
          <w:rFonts w:cs="Arial"/>
        </w:rPr>
      </w:pPr>
      <w:r w:rsidRPr="00362317">
        <w:rPr>
          <w:rFonts w:eastAsia="Calibri" w:cs="Arial"/>
          <w:lang w:val="en-US"/>
        </w:rPr>
        <w:t xml:space="preserve">information </w:t>
      </w:r>
      <w:r>
        <w:rPr>
          <w:rFonts w:eastAsia="Calibri" w:cs="Arial"/>
          <w:lang w:val="en-US"/>
        </w:rPr>
        <w:t xml:space="preserve">flows </w:t>
      </w:r>
      <w:r w:rsidRPr="00362317">
        <w:rPr>
          <w:rFonts w:eastAsia="Calibri" w:cs="Arial"/>
          <w:lang w:val="en-US"/>
        </w:rPr>
        <w:t xml:space="preserve">from the </w:t>
      </w:r>
      <w:r>
        <w:rPr>
          <w:rFonts w:eastAsia="Calibri" w:cs="Arial"/>
          <w:lang w:val="en-US"/>
        </w:rPr>
        <w:t xml:space="preserve">Council’s </w:t>
      </w:r>
      <w:r w:rsidRPr="00362317">
        <w:rPr>
          <w:rFonts w:eastAsia="Calibri" w:cs="Arial"/>
          <w:lang w:val="en-US"/>
        </w:rPr>
        <w:t xml:space="preserve">ongoing </w:t>
      </w:r>
      <w:r>
        <w:rPr>
          <w:rFonts w:eastAsia="Calibri" w:cs="Arial"/>
          <w:lang w:val="en-US"/>
        </w:rPr>
        <w:t xml:space="preserve">housing </w:t>
      </w:r>
      <w:r w:rsidRPr="00362317">
        <w:rPr>
          <w:rFonts w:eastAsia="Calibri" w:cs="Arial"/>
          <w:lang w:val="en-US"/>
        </w:rPr>
        <w:t>stock condition survey</w:t>
      </w:r>
      <w:r>
        <w:rPr>
          <w:rFonts w:eastAsia="Calibri" w:cs="Arial"/>
          <w:lang w:val="en-US"/>
        </w:rPr>
        <w:t>s</w:t>
      </w:r>
      <w:r w:rsidRPr="00362317">
        <w:rPr>
          <w:rFonts w:eastAsia="Calibri" w:cs="Arial"/>
          <w:lang w:val="en-US"/>
        </w:rPr>
        <w:t xml:space="preserve">. This </w:t>
      </w:r>
      <w:r>
        <w:rPr>
          <w:rFonts w:eastAsia="Calibri" w:cs="Arial"/>
          <w:lang w:val="en-US"/>
        </w:rPr>
        <w:t xml:space="preserve">should </w:t>
      </w:r>
      <w:r w:rsidRPr="00362317">
        <w:rPr>
          <w:rFonts w:eastAsia="Calibri" w:cs="Arial"/>
          <w:lang w:val="en-US"/>
        </w:rPr>
        <w:t>provide for long-term investment in the housing stock to increase to £55,172 per property over 30 years at current prices (£1,839 per year</w:t>
      </w:r>
      <w:proofErr w:type="gramStart"/>
      <w:r w:rsidRPr="00362317">
        <w:rPr>
          <w:rFonts w:eastAsia="Calibri" w:cs="Arial"/>
          <w:lang w:val="en-US"/>
        </w:rPr>
        <w:t>);</w:t>
      </w:r>
      <w:proofErr w:type="gramEnd"/>
    </w:p>
    <w:p w14:paraId="6F93E97B" w14:textId="77777777" w:rsidR="0002046A" w:rsidRPr="00362317" w:rsidRDefault="0002046A" w:rsidP="0002046A">
      <w:pPr>
        <w:pStyle w:val="ListParagraph"/>
        <w:numPr>
          <w:ilvl w:val="0"/>
          <w:numId w:val="10"/>
        </w:numPr>
        <w:tabs>
          <w:tab w:val="clear" w:pos="426"/>
        </w:tabs>
        <w:spacing w:before="120" w:after="0"/>
        <w:ind w:left="1134" w:hanging="425"/>
        <w:rPr>
          <w:rFonts w:cs="Arial"/>
        </w:rPr>
      </w:pPr>
      <w:r w:rsidRPr="00362317">
        <w:rPr>
          <w:rFonts w:eastAsia="Calibri" w:cs="Arial"/>
          <w:lang w:val="en-US"/>
        </w:rPr>
        <w:t>underlying inflation forecasts for the consumer prices index (CPI) provided by the Bank of England, of 2% from 2027/28.</w:t>
      </w:r>
      <w:r>
        <w:rPr>
          <w:rFonts w:eastAsia="Calibri" w:cs="Arial"/>
          <w:lang w:val="en-US"/>
        </w:rPr>
        <w:t xml:space="preserve"> P</w:t>
      </w:r>
      <w:r w:rsidRPr="00362317">
        <w:rPr>
          <w:rFonts w:eastAsia="Calibri" w:cs="Arial"/>
          <w:lang w:val="en-US"/>
        </w:rPr>
        <w:t xml:space="preserve">rojected income and expenditure assumptions </w:t>
      </w:r>
      <w:r>
        <w:rPr>
          <w:rFonts w:eastAsia="Calibri" w:cs="Arial"/>
          <w:lang w:val="en-US"/>
        </w:rPr>
        <w:t>include</w:t>
      </w:r>
      <w:r w:rsidRPr="00362317">
        <w:rPr>
          <w:rFonts w:eastAsia="Calibri" w:cs="Arial"/>
          <w:lang w:val="en-US"/>
        </w:rPr>
        <w:t>:</w:t>
      </w:r>
    </w:p>
    <w:p w14:paraId="187101E8" w14:textId="6ACD00C5" w:rsidR="0002046A" w:rsidRPr="00CD6DF9" w:rsidRDefault="0002046A" w:rsidP="0002046A">
      <w:pPr>
        <w:numPr>
          <w:ilvl w:val="0"/>
          <w:numId w:val="9"/>
        </w:numPr>
        <w:spacing w:before="60" w:after="0" w:line="259" w:lineRule="auto"/>
        <w:ind w:left="1560" w:hanging="284"/>
        <w:rPr>
          <w:rFonts w:eastAsia="Calibri" w:cs="Arial"/>
          <w:lang w:val="en-US"/>
        </w:rPr>
      </w:pPr>
      <w:r w:rsidRPr="00CD6DF9">
        <w:rPr>
          <w:rFonts w:eastAsia="Calibri" w:cs="Arial"/>
          <w:lang w:val="en-US"/>
        </w:rPr>
        <w:lastRenderedPageBreak/>
        <w:t xml:space="preserve">rents increase by CPI +1% in 2025/26 (in line </w:t>
      </w:r>
      <w:r w:rsidR="005339DF">
        <w:rPr>
          <w:rFonts w:eastAsia="Calibri" w:cs="Arial"/>
          <w:lang w:val="en-US"/>
        </w:rPr>
        <w:t xml:space="preserve">with </w:t>
      </w:r>
      <w:r w:rsidRPr="00CD6DF9">
        <w:rPr>
          <w:rFonts w:eastAsia="Calibri" w:cs="Arial"/>
          <w:lang w:val="en-US"/>
        </w:rPr>
        <w:t>extant policy</w:t>
      </w:r>
      <w:proofErr w:type="gramStart"/>
      <w:r w:rsidRPr="00CD6DF9">
        <w:rPr>
          <w:rFonts w:eastAsia="Calibri" w:cs="Arial"/>
          <w:lang w:val="en-US"/>
        </w:rPr>
        <w:t>);</w:t>
      </w:r>
      <w:proofErr w:type="gramEnd"/>
    </w:p>
    <w:p w14:paraId="4262DC40" w14:textId="77777777" w:rsidR="0002046A" w:rsidRPr="00CD6DF9" w:rsidRDefault="0002046A" w:rsidP="0002046A">
      <w:pPr>
        <w:numPr>
          <w:ilvl w:val="0"/>
          <w:numId w:val="9"/>
        </w:numPr>
        <w:spacing w:before="60" w:after="0" w:line="259" w:lineRule="auto"/>
        <w:ind w:left="1560" w:hanging="284"/>
        <w:rPr>
          <w:rFonts w:eastAsia="Calibri" w:cs="Arial"/>
          <w:lang w:val="en-US"/>
        </w:rPr>
      </w:pPr>
      <w:r w:rsidRPr="00CD6DF9">
        <w:rPr>
          <w:rFonts w:eastAsia="Calibri" w:cs="Arial"/>
          <w:lang w:val="en-US"/>
        </w:rPr>
        <w:t xml:space="preserve">rents increase by CPI only from 2026/27 onwards. A prudent assumption taken by other social landlords, pending policy of the new </w:t>
      </w:r>
      <w:proofErr w:type="gramStart"/>
      <w:r w:rsidRPr="00CD6DF9">
        <w:rPr>
          <w:rFonts w:eastAsia="Calibri" w:cs="Arial"/>
          <w:lang w:val="en-US"/>
        </w:rPr>
        <w:t>Government;</w:t>
      </w:r>
      <w:proofErr w:type="gramEnd"/>
      <w:r w:rsidRPr="00CD6DF9">
        <w:rPr>
          <w:rFonts w:eastAsia="Calibri" w:cs="Arial"/>
          <w:lang w:val="en-US"/>
        </w:rPr>
        <w:t xml:space="preserve"> </w:t>
      </w:r>
    </w:p>
    <w:p w14:paraId="65A85B37" w14:textId="77777777" w:rsidR="0002046A" w:rsidRPr="00CD6DF9" w:rsidRDefault="0002046A" w:rsidP="0002046A">
      <w:pPr>
        <w:numPr>
          <w:ilvl w:val="0"/>
          <w:numId w:val="9"/>
        </w:numPr>
        <w:spacing w:before="60" w:after="0" w:line="259" w:lineRule="auto"/>
        <w:ind w:left="1560" w:hanging="284"/>
        <w:rPr>
          <w:rFonts w:eastAsia="Calibri" w:cs="Arial"/>
          <w:lang w:val="en-US"/>
        </w:rPr>
      </w:pPr>
      <w:r w:rsidRPr="00CD6DF9">
        <w:rPr>
          <w:rFonts w:eastAsia="Calibri" w:cs="Arial"/>
          <w:lang w:val="en-US"/>
        </w:rPr>
        <w:t xml:space="preserve">building costs increase at CPI +1%. This </w:t>
      </w:r>
      <w:proofErr w:type="spellStart"/>
      <w:r w:rsidRPr="00CD6DF9">
        <w:rPr>
          <w:rFonts w:eastAsia="Calibri" w:cs="Arial"/>
          <w:lang w:val="en-US"/>
        </w:rPr>
        <w:t>recognises</w:t>
      </w:r>
      <w:proofErr w:type="spellEnd"/>
      <w:r w:rsidRPr="00CD6DF9">
        <w:rPr>
          <w:rFonts w:eastAsia="Calibri" w:cs="Arial"/>
          <w:lang w:val="en-US"/>
        </w:rPr>
        <w:t xml:space="preserve"> the potential volatility of these costs and is reflective of long-term trends; and</w:t>
      </w:r>
    </w:p>
    <w:p w14:paraId="160847AB" w14:textId="06DE9E3C" w:rsidR="0002046A" w:rsidRPr="00791A1C" w:rsidRDefault="0002046A" w:rsidP="00791A1C">
      <w:pPr>
        <w:numPr>
          <w:ilvl w:val="0"/>
          <w:numId w:val="9"/>
        </w:numPr>
        <w:spacing w:before="60" w:after="0" w:line="259" w:lineRule="auto"/>
        <w:ind w:left="1560" w:hanging="284"/>
        <w:rPr>
          <w:rFonts w:eastAsia="Calibri" w:cs="Arial"/>
          <w:lang w:val="en-US"/>
        </w:rPr>
      </w:pPr>
      <w:r w:rsidRPr="00CD6DF9">
        <w:rPr>
          <w:rFonts w:eastAsia="Calibri" w:cs="Arial"/>
          <w:lang w:val="en-US"/>
        </w:rPr>
        <w:t>interest rates on new borrowing reflect OCC’s own projections over the medium term, settling at 3.5% pa from 2029/30.</w:t>
      </w:r>
    </w:p>
    <w:p w14:paraId="4B4FCE5E" w14:textId="77777777" w:rsidR="00791A1C" w:rsidRPr="00791A1C" w:rsidRDefault="00791A1C" w:rsidP="00791A1C">
      <w:pPr>
        <w:pStyle w:val="ListParagraph"/>
        <w:numPr>
          <w:ilvl w:val="0"/>
          <w:numId w:val="0"/>
        </w:numPr>
        <w:tabs>
          <w:tab w:val="clear" w:pos="426"/>
        </w:tabs>
        <w:spacing w:after="0"/>
        <w:ind w:left="567"/>
        <w:rPr>
          <w:rFonts w:cs="Arial"/>
        </w:rPr>
      </w:pPr>
    </w:p>
    <w:p w14:paraId="56B22FFB" w14:textId="256914CD" w:rsidR="0002046A" w:rsidRPr="00C0105E" w:rsidRDefault="0002046A" w:rsidP="0002046A">
      <w:pPr>
        <w:pStyle w:val="ListParagraph"/>
        <w:numPr>
          <w:ilvl w:val="1"/>
          <w:numId w:val="6"/>
        </w:numPr>
        <w:tabs>
          <w:tab w:val="clear" w:pos="426"/>
        </w:tabs>
        <w:spacing w:after="0"/>
        <w:ind w:left="567" w:hanging="567"/>
        <w:rPr>
          <w:rFonts w:cs="Arial"/>
        </w:rPr>
      </w:pPr>
      <w:r w:rsidRPr="001D553F">
        <w:rPr>
          <w:rFonts w:eastAsia="Aptos" w:cs="Arial"/>
          <w:kern w:val="2"/>
          <w14:ligatures w14:val="standardContextual"/>
        </w:rPr>
        <w:t>In addition to the provisions above, the</w:t>
      </w:r>
      <w:r>
        <w:rPr>
          <w:rFonts w:eastAsia="Aptos" w:cs="Arial"/>
          <w:kern w:val="2"/>
          <w14:ligatures w14:val="standardContextual"/>
        </w:rPr>
        <w:t xml:space="preserve"> </w:t>
      </w:r>
      <w:r w:rsidRPr="001D553F">
        <w:rPr>
          <w:rFonts w:eastAsia="Aptos" w:cs="Arial"/>
          <w:kern w:val="2"/>
          <w14:ligatures w14:val="standardContextual"/>
        </w:rPr>
        <w:t>projections allow for representative levels of investment in existing dwellings</w:t>
      </w:r>
      <w:r>
        <w:rPr>
          <w:rFonts w:eastAsia="Aptos" w:cs="Arial"/>
          <w:kern w:val="2"/>
          <w14:ligatures w14:val="standardContextual"/>
        </w:rPr>
        <w:t xml:space="preserve"> in order to meet new decent homes and regulatory requirements</w:t>
      </w:r>
      <w:r w:rsidRPr="001D553F">
        <w:rPr>
          <w:rFonts w:eastAsia="Aptos" w:cs="Arial"/>
          <w:kern w:val="2"/>
          <w14:ligatures w14:val="standardContextual"/>
        </w:rPr>
        <w:t>.</w:t>
      </w:r>
    </w:p>
    <w:p w14:paraId="0CE78741" w14:textId="77777777" w:rsidR="0002046A" w:rsidRPr="006E0277" w:rsidRDefault="0002046A" w:rsidP="00791A1C">
      <w:pPr>
        <w:pStyle w:val="ListParagraph"/>
        <w:numPr>
          <w:ilvl w:val="0"/>
          <w:numId w:val="0"/>
        </w:numPr>
        <w:spacing w:after="0"/>
        <w:ind w:left="567"/>
        <w:rPr>
          <w:rFonts w:cs="Arial"/>
        </w:rPr>
      </w:pPr>
    </w:p>
    <w:p w14:paraId="293C7EA3" w14:textId="77777777" w:rsidR="0002046A" w:rsidRDefault="0002046A" w:rsidP="00791A1C">
      <w:pPr>
        <w:spacing w:after="0"/>
        <w:ind w:left="567"/>
        <w:rPr>
          <w:rFonts w:cs="Arial"/>
          <w:b/>
          <w:bCs/>
          <w:i/>
          <w:iCs/>
        </w:rPr>
      </w:pPr>
    </w:p>
    <w:p w14:paraId="0B720638" w14:textId="640FA15C" w:rsidR="0002046A" w:rsidRPr="00791A1C" w:rsidRDefault="0002046A" w:rsidP="00791A1C">
      <w:pPr>
        <w:spacing w:after="240"/>
        <w:ind w:left="567"/>
        <w:rPr>
          <w:rFonts w:cs="Arial"/>
          <w:b/>
          <w:bCs/>
        </w:rPr>
      </w:pPr>
      <w:bookmarkStart w:id="0" w:name="_Hlk179443883"/>
      <w:r w:rsidRPr="003122F4">
        <w:rPr>
          <w:rFonts w:cs="Arial"/>
          <w:b/>
          <w:bCs/>
        </w:rPr>
        <w:t>Business Plan</w:t>
      </w:r>
      <w:r w:rsidR="00E370E0">
        <w:rPr>
          <w:rFonts w:cs="Arial"/>
          <w:b/>
          <w:bCs/>
        </w:rPr>
        <w:t xml:space="preserve"> -</w:t>
      </w:r>
      <w:r w:rsidRPr="003122F4">
        <w:rPr>
          <w:rFonts w:cs="Arial"/>
          <w:b/>
          <w:bCs/>
        </w:rPr>
        <w:t xml:space="preserve"> Baseline Position</w:t>
      </w:r>
      <w:bookmarkEnd w:id="0"/>
    </w:p>
    <w:p w14:paraId="306546F2" w14:textId="1B25F9C0" w:rsidR="0002046A" w:rsidRPr="00BD0B43" w:rsidRDefault="0002046A" w:rsidP="00791A1C">
      <w:pPr>
        <w:pStyle w:val="ListParagraph"/>
        <w:numPr>
          <w:ilvl w:val="1"/>
          <w:numId w:val="6"/>
        </w:numPr>
        <w:tabs>
          <w:tab w:val="clear" w:pos="426"/>
        </w:tabs>
        <w:spacing w:after="0"/>
        <w:ind w:left="567" w:hanging="567"/>
        <w:rPr>
          <w:rFonts w:cs="Arial"/>
        </w:rPr>
      </w:pPr>
      <w:r>
        <w:rPr>
          <w:rFonts w:eastAsia="Aptos" w:cs="Arial"/>
          <w:kern w:val="2"/>
          <w14:ligatures w14:val="standardContextual"/>
        </w:rPr>
        <w:t xml:space="preserve">The </w:t>
      </w:r>
      <w:r w:rsidR="00E370E0">
        <w:rPr>
          <w:rFonts w:eastAsia="Aptos" w:cs="Arial"/>
          <w:kern w:val="2"/>
          <w14:ligatures w14:val="standardContextual"/>
        </w:rPr>
        <w:t xml:space="preserve">Business Plan </w:t>
      </w:r>
      <w:r>
        <w:rPr>
          <w:rFonts w:eastAsia="Aptos" w:cs="Arial"/>
          <w:kern w:val="2"/>
          <w14:ligatures w14:val="standardContextual"/>
        </w:rPr>
        <w:t xml:space="preserve">report, attached at </w:t>
      </w:r>
      <w:r w:rsidR="00E370E0">
        <w:rPr>
          <w:rFonts w:eastAsia="Aptos" w:cs="Arial"/>
          <w:b/>
          <w:bCs/>
          <w:kern w:val="2"/>
          <w14:ligatures w14:val="standardContextual"/>
        </w:rPr>
        <w:t>A</w:t>
      </w:r>
      <w:r w:rsidRPr="009C1151">
        <w:rPr>
          <w:rFonts w:eastAsia="Aptos" w:cs="Arial"/>
          <w:b/>
          <w:bCs/>
          <w:kern w:val="2"/>
          <w14:ligatures w14:val="standardContextual"/>
        </w:rPr>
        <w:t>nnex A,</w:t>
      </w:r>
      <w:r>
        <w:rPr>
          <w:rFonts w:eastAsia="Aptos" w:cs="Arial"/>
          <w:kern w:val="2"/>
          <w14:ligatures w14:val="standardContextual"/>
        </w:rPr>
        <w:t xml:space="preserve"> graphically outlines the projections of the Council’s HRA income and expenditure plans with future assumptions.  It then presents the resulting </w:t>
      </w:r>
      <w:r w:rsidRPr="009C1151">
        <w:rPr>
          <w:rFonts w:eastAsia="Aptos" w:cs="Arial"/>
          <w:b/>
          <w:bCs/>
          <w:kern w:val="2"/>
          <w14:ligatures w14:val="standardContextual"/>
        </w:rPr>
        <w:t>baseline</w:t>
      </w:r>
      <w:r>
        <w:rPr>
          <w:rFonts w:eastAsia="Aptos" w:cs="Arial"/>
          <w:kern w:val="2"/>
          <w14:ligatures w14:val="standardContextual"/>
        </w:rPr>
        <w:t xml:space="preserve"> </w:t>
      </w:r>
      <w:r w:rsidRPr="009C1151">
        <w:rPr>
          <w:rFonts w:eastAsia="Aptos" w:cs="Arial"/>
          <w:b/>
          <w:bCs/>
          <w:kern w:val="2"/>
          <w14:ligatures w14:val="standardContextual"/>
        </w:rPr>
        <w:t xml:space="preserve">indicator </w:t>
      </w:r>
      <w:r w:rsidRPr="00E370E0">
        <w:rPr>
          <w:rFonts w:eastAsia="Aptos" w:cs="Arial"/>
          <w:kern w:val="2"/>
          <w14:ligatures w14:val="standardContextual"/>
        </w:rPr>
        <w:t>of the health</w:t>
      </w:r>
      <w:r>
        <w:rPr>
          <w:rFonts w:eastAsia="Aptos" w:cs="Arial"/>
          <w:kern w:val="2"/>
          <w14:ligatures w14:val="standardContextual"/>
        </w:rPr>
        <w:t xml:space="preserve"> of the HRA over the next 40 years.  </w:t>
      </w:r>
    </w:p>
    <w:p w14:paraId="385F7906" w14:textId="77777777" w:rsidR="0002046A" w:rsidRPr="00BD0B43" w:rsidRDefault="0002046A" w:rsidP="00791A1C">
      <w:pPr>
        <w:pStyle w:val="ListParagraph"/>
        <w:numPr>
          <w:ilvl w:val="0"/>
          <w:numId w:val="0"/>
        </w:numPr>
        <w:spacing w:after="0"/>
        <w:ind w:left="567"/>
        <w:rPr>
          <w:rFonts w:cs="Arial"/>
        </w:rPr>
      </w:pPr>
    </w:p>
    <w:p w14:paraId="41B29D1E" w14:textId="77777777" w:rsidR="0002046A" w:rsidRPr="009A59CD" w:rsidRDefault="0002046A" w:rsidP="00791A1C">
      <w:pPr>
        <w:pStyle w:val="ListParagraph"/>
        <w:numPr>
          <w:ilvl w:val="1"/>
          <w:numId w:val="6"/>
        </w:numPr>
        <w:tabs>
          <w:tab w:val="clear" w:pos="426"/>
        </w:tabs>
        <w:spacing w:after="0"/>
        <w:ind w:left="567" w:hanging="567"/>
        <w:rPr>
          <w:rFonts w:cs="Arial"/>
        </w:rPr>
      </w:pPr>
      <w:r>
        <w:rPr>
          <w:rFonts w:eastAsia="Aptos" w:cs="Arial"/>
          <w:kern w:val="2"/>
          <w14:ligatures w14:val="standardContextual"/>
        </w:rPr>
        <w:t xml:space="preserve">The report acknowledges the need for the HRA to borrow extensively to deliver our medium-term programmes.  It shows the scale of current plans for building and acquiring new homes, and their major (spiking) impacts on current borrowing plans over the next 5 years.  </w:t>
      </w:r>
    </w:p>
    <w:p w14:paraId="7C425BBD" w14:textId="77777777" w:rsidR="0002046A" w:rsidRPr="003F70A7" w:rsidRDefault="0002046A" w:rsidP="00791A1C">
      <w:pPr>
        <w:spacing w:after="0"/>
        <w:rPr>
          <w:rFonts w:eastAsia="Aptos" w:cs="Arial"/>
          <w:kern w:val="2"/>
          <w14:ligatures w14:val="standardContextual"/>
        </w:rPr>
      </w:pPr>
      <w:r w:rsidRPr="003F70A7">
        <w:rPr>
          <w:rFonts w:eastAsia="Aptos" w:cs="Arial"/>
          <w:kern w:val="2"/>
          <w14:ligatures w14:val="standardContextual"/>
        </w:rPr>
        <w:t xml:space="preserve"> </w:t>
      </w:r>
    </w:p>
    <w:p w14:paraId="18C66BAE" w14:textId="785500FB" w:rsidR="0002046A" w:rsidRPr="001E25FD" w:rsidRDefault="0002046A" w:rsidP="00791A1C">
      <w:pPr>
        <w:pStyle w:val="ListParagraph"/>
        <w:numPr>
          <w:ilvl w:val="1"/>
          <w:numId w:val="6"/>
        </w:numPr>
        <w:tabs>
          <w:tab w:val="clear" w:pos="426"/>
        </w:tabs>
        <w:spacing w:after="0"/>
        <w:ind w:left="567" w:hanging="567"/>
        <w:rPr>
          <w:rFonts w:cs="Arial"/>
        </w:rPr>
      </w:pPr>
      <w:r>
        <w:rPr>
          <w:rFonts w:eastAsia="Aptos" w:cs="Arial"/>
          <w:kern w:val="2"/>
          <w14:ligatures w14:val="standardContextual"/>
        </w:rPr>
        <w:t xml:space="preserve">The report explains the health of the Plan over the 40 years </w:t>
      </w:r>
      <w:r w:rsidR="00E370E0">
        <w:rPr>
          <w:rFonts w:eastAsia="Aptos" w:cs="Arial"/>
          <w:kern w:val="2"/>
          <w14:ligatures w14:val="standardContextual"/>
        </w:rPr>
        <w:t xml:space="preserve">based </w:t>
      </w:r>
      <w:r>
        <w:rPr>
          <w:rFonts w:eastAsia="Aptos" w:cs="Arial"/>
          <w:kern w:val="2"/>
          <w14:ligatures w14:val="standardContextual"/>
        </w:rPr>
        <w:t xml:space="preserve">around two core indicators: </w:t>
      </w:r>
    </w:p>
    <w:p w14:paraId="0F1DBC2B" w14:textId="682589E0" w:rsidR="0002046A" w:rsidRPr="00CA44C7" w:rsidRDefault="0002046A" w:rsidP="0002046A">
      <w:pPr>
        <w:pStyle w:val="ListParagraph"/>
        <w:numPr>
          <w:ilvl w:val="0"/>
          <w:numId w:val="12"/>
        </w:numPr>
        <w:tabs>
          <w:tab w:val="clear" w:pos="426"/>
        </w:tabs>
        <w:spacing w:before="120" w:after="0"/>
        <w:ind w:left="993" w:hanging="284"/>
        <w:rPr>
          <w:rFonts w:cs="Arial"/>
        </w:rPr>
      </w:pPr>
      <w:r w:rsidRPr="00B21BA6">
        <w:rPr>
          <w:rFonts w:eastAsia="Aptos" w:cs="Arial"/>
          <w:kern w:val="2"/>
          <w:u w:val="single"/>
          <w14:ligatures w14:val="standardContextual"/>
        </w:rPr>
        <w:t>Scale of debt load being carried:</w:t>
      </w:r>
      <w:r w:rsidRPr="003F70A7">
        <w:rPr>
          <w:rFonts w:eastAsia="Aptos" w:cs="Arial"/>
          <w:kern w:val="2"/>
          <w14:ligatures w14:val="standardContextual"/>
        </w:rPr>
        <w:t xml:space="preserve"> over the </w:t>
      </w:r>
      <w:r w:rsidR="00E370E0" w:rsidRPr="003F70A7">
        <w:rPr>
          <w:rFonts w:eastAsia="Aptos" w:cs="Arial"/>
          <w:kern w:val="2"/>
          <w14:ligatures w14:val="standardContextual"/>
        </w:rPr>
        <w:t>medium-term</w:t>
      </w:r>
      <w:r w:rsidRPr="003F70A7">
        <w:rPr>
          <w:rFonts w:eastAsia="Aptos" w:cs="Arial"/>
          <w:kern w:val="2"/>
          <w14:ligatures w14:val="standardContextual"/>
        </w:rPr>
        <w:t xml:space="preserve"> debt levels are expected to rise steeply before </w:t>
      </w:r>
      <w:r w:rsidR="00E370E0" w:rsidRPr="003F70A7">
        <w:rPr>
          <w:rFonts w:eastAsia="Aptos" w:cs="Arial"/>
          <w:kern w:val="2"/>
          <w14:ligatures w14:val="standardContextual"/>
        </w:rPr>
        <w:t>stabilising</w:t>
      </w:r>
      <w:r w:rsidRPr="003F70A7">
        <w:rPr>
          <w:rFonts w:eastAsia="Aptos" w:cs="Arial"/>
          <w:kern w:val="2"/>
          <w14:ligatures w14:val="standardContextual"/>
        </w:rPr>
        <w:t xml:space="preserve"> </w:t>
      </w:r>
      <w:r>
        <w:rPr>
          <w:rFonts w:eastAsia="Aptos" w:cs="Arial"/>
          <w:kern w:val="2"/>
          <w14:ligatures w14:val="standardContextual"/>
        </w:rPr>
        <w:t xml:space="preserve">at high levels from around 2031 </w:t>
      </w:r>
      <w:r w:rsidRPr="003F70A7">
        <w:rPr>
          <w:rFonts w:eastAsia="Aptos" w:cs="Arial"/>
          <w:kern w:val="2"/>
          <w14:ligatures w14:val="standardContextual"/>
        </w:rPr>
        <w:t xml:space="preserve">over the mid-point of the plan, </w:t>
      </w:r>
      <w:r>
        <w:rPr>
          <w:rFonts w:eastAsia="Aptos" w:cs="Arial"/>
          <w:kern w:val="2"/>
          <w14:ligatures w14:val="standardContextual"/>
        </w:rPr>
        <w:t xml:space="preserve">with debt </w:t>
      </w:r>
      <w:r w:rsidRPr="003F70A7">
        <w:rPr>
          <w:rFonts w:eastAsia="Aptos" w:cs="Arial"/>
          <w:kern w:val="2"/>
          <w14:ligatures w14:val="standardContextual"/>
        </w:rPr>
        <w:t>peek</w:t>
      </w:r>
      <w:r>
        <w:rPr>
          <w:rFonts w:eastAsia="Aptos" w:cs="Arial"/>
          <w:kern w:val="2"/>
          <w14:ligatures w14:val="standardContextual"/>
        </w:rPr>
        <w:t>ing</w:t>
      </w:r>
      <w:r w:rsidRPr="003F70A7">
        <w:rPr>
          <w:rFonts w:eastAsia="Aptos" w:cs="Arial"/>
          <w:kern w:val="2"/>
          <w14:ligatures w14:val="standardContextual"/>
        </w:rPr>
        <w:t xml:space="preserve"> at £700m at 2040/41</w:t>
      </w:r>
      <w:r>
        <w:rPr>
          <w:rFonts w:eastAsia="Aptos" w:cs="Arial"/>
          <w:kern w:val="2"/>
          <w14:ligatures w14:val="standardContextual"/>
        </w:rPr>
        <w:t xml:space="preserve"> compared to </w:t>
      </w:r>
      <w:r w:rsidRPr="003F70A7">
        <w:rPr>
          <w:rFonts w:eastAsia="Aptos" w:cs="Arial"/>
          <w:kern w:val="2"/>
          <w14:ligatures w14:val="standardContextual"/>
        </w:rPr>
        <w:t>around £415m</w:t>
      </w:r>
      <w:r>
        <w:rPr>
          <w:rFonts w:eastAsia="Aptos" w:cs="Arial"/>
          <w:kern w:val="2"/>
          <w14:ligatures w14:val="standardContextual"/>
        </w:rPr>
        <w:t xml:space="preserve"> today. Debt then falls significantly from the </w:t>
      </w:r>
      <w:r w:rsidRPr="003F70A7">
        <w:rPr>
          <w:rFonts w:eastAsia="Aptos" w:cs="Arial"/>
          <w:kern w:val="2"/>
          <w14:ligatures w14:val="standardContextual"/>
        </w:rPr>
        <w:t>third quarter</w:t>
      </w:r>
      <w:r>
        <w:rPr>
          <w:rFonts w:eastAsia="Aptos" w:cs="Arial"/>
          <w:kern w:val="2"/>
          <w14:ligatures w14:val="standardContextual"/>
        </w:rPr>
        <w:t xml:space="preserve"> of the </w:t>
      </w:r>
      <w:proofErr w:type="gramStart"/>
      <w:r w:rsidR="00EF365B">
        <w:rPr>
          <w:rFonts w:eastAsia="Aptos" w:cs="Arial"/>
          <w:kern w:val="2"/>
          <w14:ligatures w14:val="standardContextual"/>
        </w:rPr>
        <w:t>40 year</w:t>
      </w:r>
      <w:proofErr w:type="gramEnd"/>
      <w:r w:rsidR="00EF365B">
        <w:rPr>
          <w:rFonts w:eastAsia="Aptos" w:cs="Arial"/>
          <w:kern w:val="2"/>
          <w14:ligatures w14:val="standardContextual"/>
        </w:rPr>
        <w:t xml:space="preserve"> </w:t>
      </w:r>
      <w:r>
        <w:rPr>
          <w:rFonts w:eastAsia="Aptos" w:cs="Arial"/>
          <w:kern w:val="2"/>
          <w14:ligatures w14:val="standardContextual"/>
        </w:rPr>
        <w:t>period.</w:t>
      </w:r>
      <w:r w:rsidRPr="003F70A7">
        <w:rPr>
          <w:rFonts w:eastAsia="Aptos" w:cs="Arial"/>
          <w:kern w:val="2"/>
          <w14:ligatures w14:val="standardContextual"/>
        </w:rPr>
        <w:t xml:space="preserve"> </w:t>
      </w:r>
    </w:p>
    <w:p w14:paraId="02C87BD1" w14:textId="26BDA18C" w:rsidR="0002046A" w:rsidRPr="00CA44C7" w:rsidRDefault="0002046A" w:rsidP="0002046A">
      <w:pPr>
        <w:pStyle w:val="ListParagraph"/>
        <w:numPr>
          <w:ilvl w:val="0"/>
          <w:numId w:val="12"/>
        </w:numPr>
        <w:tabs>
          <w:tab w:val="clear" w:pos="426"/>
        </w:tabs>
        <w:spacing w:before="120" w:after="0"/>
        <w:ind w:left="993" w:hanging="284"/>
        <w:rPr>
          <w:rFonts w:cs="Arial"/>
        </w:rPr>
      </w:pPr>
      <w:r w:rsidRPr="00B21BA6">
        <w:rPr>
          <w:rFonts w:eastAsia="Aptos" w:cs="Arial"/>
          <w:kern w:val="2"/>
          <w:u w:val="single"/>
          <w14:ligatures w14:val="standardContextual"/>
        </w:rPr>
        <w:t>Ability to repay debt - interest rate cover ratio (ICR):</w:t>
      </w:r>
      <w:r w:rsidRPr="00D3173C">
        <w:rPr>
          <w:rFonts w:eastAsia="Aptos" w:cs="Arial"/>
          <w:b/>
          <w:bCs/>
          <w:kern w:val="2"/>
          <w14:ligatures w14:val="standardContextual"/>
        </w:rPr>
        <w:t xml:space="preserve"> </w:t>
      </w:r>
      <w:r w:rsidRPr="00CA44C7">
        <w:rPr>
          <w:rFonts w:eastAsia="Aptos" w:cs="Arial"/>
          <w:kern w:val="2"/>
          <w14:ligatures w14:val="standardContextual"/>
        </w:rPr>
        <w:t xml:space="preserve">the ICR measures the affordability of the baseline projections </w:t>
      </w:r>
      <w:r>
        <w:rPr>
          <w:rFonts w:eastAsia="Aptos" w:cs="Arial"/>
          <w:kern w:val="2"/>
          <w14:ligatures w14:val="standardContextual"/>
        </w:rPr>
        <w:t xml:space="preserve">in terms of </w:t>
      </w:r>
      <w:r w:rsidRPr="00CA44C7">
        <w:rPr>
          <w:rFonts w:eastAsia="Aptos" w:cs="Arial"/>
          <w:kern w:val="2"/>
          <w14:ligatures w14:val="standardContextual"/>
        </w:rPr>
        <w:t>the ability of HRA surplus</w:t>
      </w:r>
      <w:r>
        <w:rPr>
          <w:rFonts w:eastAsia="Aptos" w:cs="Arial"/>
          <w:kern w:val="2"/>
          <w14:ligatures w14:val="standardContextual"/>
        </w:rPr>
        <w:t>es</w:t>
      </w:r>
      <w:r w:rsidRPr="00CA44C7">
        <w:rPr>
          <w:rFonts w:eastAsia="Aptos" w:cs="Arial"/>
          <w:kern w:val="2"/>
          <w14:ligatures w14:val="standardContextual"/>
        </w:rPr>
        <w:t xml:space="preserve"> to </w:t>
      </w:r>
      <w:r>
        <w:rPr>
          <w:rFonts w:eastAsia="Aptos" w:cs="Arial"/>
          <w:kern w:val="2"/>
          <w14:ligatures w14:val="standardContextual"/>
        </w:rPr>
        <w:t xml:space="preserve">repay </w:t>
      </w:r>
      <w:r w:rsidRPr="00CA44C7">
        <w:rPr>
          <w:rFonts w:eastAsia="Aptos" w:cs="Arial"/>
          <w:kern w:val="2"/>
          <w14:ligatures w14:val="standardContextual"/>
        </w:rPr>
        <w:t>interest rate charges on its debts. The report shows that the HRA baseline is above the guideline 125%, except for</w:t>
      </w:r>
      <w:r>
        <w:rPr>
          <w:rFonts w:eastAsia="Aptos" w:cs="Arial"/>
          <w:kern w:val="2"/>
          <w14:ligatures w14:val="standardContextual"/>
        </w:rPr>
        <w:t xml:space="preserve"> 3</w:t>
      </w:r>
      <w:r w:rsidRPr="00CA44C7">
        <w:rPr>
          <w:rFonts w:eastAsia="Aptos" w:cs="Arial"/>
          <w:kern w:val="2"/>
          <w14:ligatures w14:val="standardContextual"/>
        </w:rPr>
        <w:t xml:space="preserve"> year</w:t>
      </w:r>
      <w:r>
        <w:rPr>
          <w:rFonts w:eastAsia="Aptos" w:cs="Arial"/>
          <w:kern w:val="2"/>
          <w14:ligatures w14:val="standardContextual"/>
        </w:rPr>
        <w:t>s</w:t>
      </w:r>
      <w:r w:rsidRPr="00CA44C7">
        <w:rPr>
          <w:rFonts w:eastAsia="Aptos" w:cs="Arial"/>
          <w:kern w:val="2"/>
          <w14:ligatures w14:val="standardContextual"/>
        </w:rPr>
        <w:t xml:space="preserve"> where it </w:t>
      </w:r>
      <w:r w:rsidR="005A0B99" w:rsidRPr="00CA44C7">
        <w:rPr>
          <w:rFonts w:eastAsia="Aptos" w:cs="Arial"/>
          <w:kern w:val="2"/>
          <w14:ligatures w14:val="standardContextual"/>
        </w:rPr>
        <w:t>dip</w:t>
      </w:r>
      <w:r w:rsidR="005A0B99">
        <w:rPr>
          <w:rFonts w:eastAsia="Aptos" w:cs="Arial"/>
          <w:kern w:val="2"/>
          <w14:ligatures w14:val="standardContextual"/>
        </w:rPr>
        <w:t>s</w:t>
      </w:r>
      <w:r w:rsidR="005A0B99" w:rsidRPr="00CA44C7">
        <w:rPr>
          <w:rFonts w:eastAsia="Aptos" w:cs="Arial"/>
          <w:kern w:val="2"/>
          <w14:ligatures w14:val="standardContextual"/>
        </w:rPr>
        <w:t xml:space="preserve"> </w:t>
      </w:r>
      <w:r w:rsidRPr="00CA44C7">
        <w:rPr>
          <w:rFonts w:eastAsia="Aptos" w:cs="Arial"/>
          <w:kern w:val="2"/>
          <w14:ligatures w14:val="standardContextual"/>
        </w:rPr>
        <w:t xml:space="preserve">below the line (2028 to </w:t>
      </w:r>
      <w:r w:rsidR="00AA2373">
        <w:rPr>
          <w:rFonts w:eastAsia="Aptos" w:cs="Arial"/>
          <w:kern w:val="2"/>
          <w14:ligatures w14:val="standardContextual"/>
        </w:rPr>
        <w:t>20</w:t>
      </w:r>
      <w:r w:rsidRPr="00CA44C7">
        <w:rPr>
          <w:rFonts w:eastAsia="Aptos" w:cs="Arial"/>
          <w:kern w:val="2"/>
          <w14:ligatures w14:val="standardContextual"/>
        </w:rPr>
        <w:t xml:space="preserve">31). This </w:t>
      </w:r>
      <w:r>
        <w:rPr>
          <w:rFonts w:eastAsia="Aptos" w:cs="Arial"/>
          <w:kern w:val="2"/>
          <w14:ligatures w14:val="standardContextual"/>
        </w:rPr>
        <w:t xml:space="preserve">is </w:t>
      </w:r>
      <w:r w:rsidRPr="00CA44C7">
        <w:rPr>
          <w:rFonts w:eastAsia="Aptos" w:cs="Arial"/>
          <w:kern w:val="2"/>
          <w14:ligatures w14:val="standardContextual"/>
        </w:rPr>
        <w:t>link</w:t>
      </w:r>
      <w:r>
        <w:rPr>
          <w:rFonts w:eastAsia="Aptos" w:cs="Arial"/>
          <w:kern w:val="2"/>
          <w14:ligatures w14:val="standardContextual"/>
        </w:rPr>
        <w:t xml:space="preserve">ed </w:t>
      </w:r>
      <w:r w:rsidRPr="00CA44C7">
        <w:rPr>
          <w:rFonts w:eastAsia="Aptos" w:cs="Arial"/>
          <w:kern w:val="2"/>
          <w14:ligatures w14:val="standardContextual"/>
        </w:rPr>
        <w:t xml:space="preserve">with expected higher expenditure levels as many housing development programmes </w:t>
      </w:r>
      <w:r>
        <w:rPr>
          <w:rFonts w:eastAsia="Aptos" w:cs="Arial"/>
          <w:kern w:val="2"/>
          <w14:ligatures w14:val="standardContextual"/>
        </w:rPr>
        <w:t xml:space="preserve">reach </w:t>
      </w:r>
      <w:r w:rsidRPr="00CA44C7">
        <w:rPr>
          <w:rFonts w:eastAsia="Aptos" w:cs="Arial"/>
          <w:kern w:val="2"/>
          <w14:ligatures w14:val="standardContextual"/>
        </w:rPr>
        <w:t xml:space="preserve">their final stages. </w:t>
      </w:r>
    </w:p>
    <w:p w14:paraId="6042AB42" w14:textId="77777777" w:rsidR="0002046A" w:rsidRPr="000E14FF" w:rsidRDefault="0002046A" w:rsidP="00791A1C">
      <w:pPr>
        <w:spacing w:after="0"/>
        <w:rPr>
          <w:rFonts w:cs="Arial"/>
        </w:rPr>
      </w:pPr>
    </w:p>
    <w:p w14:paraId="37AEDD16" w14:textId="57E44C79" w:rsidR="0002046A" w:rsidRDefault="0002046A" w:rsidP="007C4142">
      <w:pPr>
        <w:pStyle w:val="ListParagraph"/>
        <w:numPr>
          <w:ilvl w:val="1"/>
          <w:numId w:val="6"/>
        </w:numPr>
        <w:tabs>
          <w:tab w:val="clear" w:pos="426"/>
        </w:tabs>
        <w:spacing w:after="0"/>
        <w:ind w:left="567" w:hanging="567"/>
        <w:rPr>
          <w:rFonts w:cs="Arial"/>
        </w:rPr>
      </w:pPr>
      <w:r>
        <w:rPr>
          <w:rFonts w:cs="Arial"/>
        </w:rPr>
        <w:t xml:space="preserve">The Report narrative concludes that in the medium term (to 2031/32) the HRA is insufficiently flexible to respond to additional regulatory and other emerging pressures, substantial additional decarbonisation works, or other new initiatives over the medium term. As a </w:t>
      </w:r>
      <w:proofErr w:type="gramStart"/>
      <w:r>
        <w:rPr>
          <w:rFonts w:cs="Arial"/>
        </w:rPr>
        <w:t>result</w:t>
      </w:r>
      <w:proofErr w:type="gramEnd"/>
      <w:r>
        <w:rPr>
          <w:rFonts w:cs="Arial"/>
        </w:rPr>
        <w:t xml:space="preserve"> the report indicates that the HRA baseline is “</w:t>
      </w:r>
      <w:r w:rsidR="00E370E0">
        <w:rPr>
          <w:rFonts w:cs="Arial"/>
        </w:rPr>
        <w:t>borderl</w:t>
      </w:r>
      <w:r w:rsidR="00E370E0" w:rsidRPr="00C97C21">
        <w:rPr>
          <w:rFonts w:cs="Arial"/>
        </w:rPr>
        <w:t>ine</w:t>
      </w:r>
      <w:r w:rsidRPr="00C97C21">
        <w:rPr>
          <w:rFonts w:cs="Arial"/>
        </w:rPr>
        <w:t xml:space="preserve"> affordable”</w:t>
      </w:r>
      <w:r>
        <w:rPr>
          <w:rFonts w:cs="Arial"/>
        </w:rPr>
        <w:t>, and would deteriorate further if substantial new plans are undertaken over the medium term.</w:t>
      </w:r>
    </w:p>
    <w:p w14:paraId="45EEE6E2" w14:textId="77777777" w:rsidR="00791A1C" w:rsidRPr="00791A1C" w:rsidRDefault="00791A1C" w:rsidP="007C4142">
      <w:pPr>
        <w:pStyle w:val="ListParagraph"/>
        <w:numPr>
          <w:ilvl w:val="0"/>
          <w:numId w:val="0"/>
        </w:numPr>
        <w:tabs>
          <w:tab w:val="clear" w:pos="426"/>
        </w:tabs>
        <w:spacing w:after="0"/>
        <w:ind w:left="567"/>
        <w:rPr>
          <w:rFonts w:cs="Arial"/>
        </w:rPr>
      </w:pPr>
    </w:p>
    <w:p w14:paraId="4A647952" w14:textId="54125BDD" w:rsidR="0002046A" w:rsidRPr="000E14FF" w:rsidRDefault="0002046A" w:rsidP="007C4142">
      <w:pPr>
        <w:pStyle w:val="ListParagraph"/>
        <w:numPr>
          <w:ilvl w:val="1"/>
          <w:numId w:val="6"/>
        </w:numPr>
        <w:tabs>
          <w:tab w:val="clear" w:pos="426"/>
        </w:tabs>
        <w:spacing w:after="0"/>
        <w:ind w:left="567" w:hanging="567"/>
        <w:rPr>
          <w:rFonts w:cs="Arial"/>
        </w:rPr>
      </w:pPr>
      <w:r>
        <w:rPr>
          <w:rFonts w:cs="Arial"/>
        </w:rPr>
        <w:lastRenderedPageBreak/>
        <w:t xml:space="preserve">Council could be a bit more optimistic than this position. Although the baseline shows that ICR falls slightly below the guideline for a </w:t>
      </w:r>
      <w:r w:rsidR="00E370E0">
        <w:rPr>
          <w:rFonts w:cs="Arial"/>
        </w:rPr>
        <w:t>3-year</w:t>
      </w:r>
      <w:r>
        <w:rPr>
          <w:rFonts w:cs="Arial"/>
        </w:rPr>
        <w:t xml:space="preserve"> period, this would nonetheless be well within the 25% extra cover buffer above 100% set in the guideline. A</w:t>
      </w:r>
      <w:r w:rsidRPr="000E14FF">
        <w:rPr>
          <w:rFonts w:cs="Arial"/>
        </w:rPr>
        <w:t xml:space="preserve">side </w:t>
      </w:r>
      <w:r>
        <w:rPr>
          <w:rFonts w:cs="Arial"/>
        </w:rPr>
        <w:t xml:space="preserve">from </w:t>
      </w:r>
      <w:r w:rsidRPr="000E14FF">
        <w:rPr>
          <w:rFonts w:cs="Arial"/>
        </w:rPr>
        <w:t xml:space="preserve">this </w:t>
      </w:r>
      <w:r>
        <w:rPr>
          <w:rFonts w:cs="Arial"/>
        </w:rPr>
        <w:t>‘</w:t>
      </w:r>
      <w:r w:rsidRPr="000E14FF">
        <w:rPr>
          <w:rFonts w:cs="Arial"/>
        </w:rPr>
        <w:t>blip</w:t>
      </w:r>
      <w:r>
        <w:rPr>
          <w:rFonts w:cs="Arial"/>
        </w:rPr>
        <w:t>’</w:t>
      </w:r>
      <w:r w:rsidRPr="000E14FF">
        <w:rPr>
          <w:rFonts w:cs="Arial"/>
        </w:rPr>
        <w:t xml:space="preserve">, the baselines show a healthy plan, which </w:t>
      </w:r>
      <w:r>
        <w:rPr>
          <w:rFonts w:cs="Arial"/>
        </w:rPr>
        <w:t>improves steadily over the long term</w:t>
      </w:r>
      <w:r w:rsidRPr="000E14FF">
        <w:rPr>
          <w:rFonts w:cs="Arial"/>
        </w:rPr>
        <w:t xml:space="preserve">. </w:t>
      </w:r>
    </w:p>
    <w:p w14:paraId="0B8F20F3" w14:textId="77777777" w:rsidR="0002046A" w:rsidRPr="0020484F" w:rsidRDefault="0002046A" w:rsidP="007C4142">
      <w:pPr>
        <w:spacing w:after="0"/>
        <w:rPr>
          <w:rFonts w:cs="Arial"/>
        </w:rPr>
      </w:pPr>
    </w:p>
    <w:p w14:paraId="0CEFBBCF" w14:textId="37B9269A" w:rsidR="0002046A" w:rsidRPr="00B70E16" w:rsidRDefault="00E370E0" w:rsidP="007C4142">
      <w:pPr>
        <w:pStyle w:val="ListParagraph"/>
        <w:numPr>
          <w:ilvl w:val="1"/>
          <w:numId w:val="6"/>
        </w:numPr>
        <w:tabs>
          <w:tab w:val="clear" w:pos="426"/>
        </w:tabs>
        <w:spacing w:after="0"/>
        <w:ind w:left="567" w:hanging="567"/>
        <w:rPr>
          <w:rFonts w:cs="Arial"/>
        </w:rPr>
      </w:pPr>
      <w:r>
        <w:rPr>
          <w:rFonts w:eastAsia="Aptos" w:cs="Arial"/>
          <w:kern w:val="2"/>
          <w14:ligatures w14:val="standardContextual"/>
        </w:rPr>
        <w:t xml:space="preserve">We </w:t>
      </w:r>
      <w:r w:rsidRPr="00B70E16">
        <w:rPr>
          <w:rFonts w:eastAsia="Aptos" w:cs="Arial"/>
          <w:kern w:val="2"/>
          <w14:ligatures w14:val="standardContextual"/>
        </w:rPr>
        <w:t>considered</w:t>
      </w:r>
      <w:r w:rsidRPr="00B70E16">
        <w:rPr>
          <w:rFonts w:cs="Arial"/>
        </w:rPr>
        <w:t xml:space="preserve"> </w:t>
      </w:r>
      <w:r>
        <w:rPr>
          <w:rFonts w:cs="Arial"/>
        </w:rPr>
        <w:t>a</w:t>
      </w:r>
      <w:r w:rsidR="0002046A" w:rsidRPr="00B70E16">
        <w:rPr>
          <w:rFonts w:cs="Arial"/>
        </w:rPr>
        <w:t xml:space="preserve"> </w:t>
      </w:r>
      <w:r w:rsidR="0002046A" w:rsidRPr="00B70E16">
        <w:rPr>
          <w:rFonts w:eastAsia="Aptos" w:cs="Arial"/>
          <w:kern w:val="2"/>
          <w14:ligatures w14:val="standardContextual"/>
        </w:rPr>
        <w:t xml:space="preserve">range of actions </w:t>
      </w:r>
      <w:r>
        <w:rPr>
          <w:rFonts w:eastAsia="Aptos" w:cs="Arial"/>
          <w:kern w:val="2"/>
          <w14:ligatures w14:val="standardContextual"/>
        </w:rPr>
        <w:t>that</w:t>
      </w:r>
      <w:r w:rsidR="0002046A" w:rsidRPr="00B70E16">
        <w:rPr>
          <w:rFonts w:eastAsia="Aptos" w:cs="Arial"/>
          <w:kern w:val="2"/>
          <w14:ligatures w14:val="standardContextual"/>
        </w:rPr>
        <w:t xml:space="preserve"> </w:t>
      </w:r>
      <w:r w:rsidR="0036442F">
        <w:rPr>
          <w:rFonts w:eastAsia="Aptos" w:cs="Arial"/>
          <w:kern w:val="2"/>
          <w14:ligatures w14:val="standardContextual"/>
        </w:rPr>
        <w:t xml:space="preserve">can </w:t>
      </w:r>
      <w:r w:rsidR="0002046A" w:rsidRPr="00B70E16">
        <w:rPr>
          <w:rFonts w:eastAsia="Aptos" w:cs="Arial"/>
          <w:kern w:val="2"/>
          <w14:ligatures w14:val="standardContextual"/>
        </w:rPr>
        <w:t xml:space="preserve">improve the financial </w:t>
      </w:r>
      <w:r w:rsidR="0036442F">
        <w:rPr>
          <w:rFonts w:eastAsia="Aptos" w:cs="Arial"/>
          <w:kern w:val="2"/>
          <w14:ligatures w14:val="standardContextual"/>
        </w:rPr>
        <w:t xml:space="preserve">baseline </w:t>
      </w:r>
      <w:r w:rsidR="0002046A" w:rsidRPr="00B70E16">
        <w:rPr>
          <w:rFonts w:eastAsia="Aptos" w:cs="Arial"/>
          <w:kern w:val="2"/>
          <w14:ligatures w14:val="standardContextual"/>
        </w:rPr>
        <w:t xml:space="preserve">and resilience of </w:t>
      </w:r>
      <w:r w:rsidR="0002046A">
        <w:rPr>
          <w:rFonts w:eastAsia="Aptos" w:cs="Arial"/>
          <w:kern w:val="2"/>
          <w14:ligatures w14:val="standardContextual"/>
        </w:rPr>
        <w:t xml:space="preserve">the </w:t>
      </w:r>
      <w:r w:rsidR="0002046A" w:rsidRPr="00B70E16">
        <w:rPr>
          <w:rFonts w:eastAsia="Aptos" w:cs="Arial"/>
          <w:kern w:val="2"/>
          <w14:ligatures w14:val="standardContextual"/>
        </w:rPr>
        <w:t>HRA</w:t>
      </w:r>
      <w:r w:rsidR="0002046A">
        <w:rPr>
          <w:rFonts w:eastAsia="Aptos" w:cs="Arial"/>
          <w:kern w:val="2"/>
          <w14:ligatures w14:val="standardContextual"/>
        </w:rPr>
        <w:t>. T</w:t>
      </w:r>
      <w:r w:rsidR="0002046A" w:rsidRPr="00B70E16">
        <w:rPr>
          <w:rFonts w:eastAsia="Aptos" w:cs="Arial"/>
          <w:kern w:val="2"/>
          <w14:ligatures w14:val="standardContextual"/>
        </w:rPr>
        <w:t xml:space="preserve">he following </w:t>
      </w:r>
      <w:r w:rsidR="0036442F">
        <w:rPr>
          <w:rFonts w:eastAsia="Aptos" w:cs="Arial"/>
          <w:kern w:val="2"/>
          <w14:ligatures w14:val="standardContextual"/>
        </w:rPr>
        <w:t xml:space="preserve">actions </w:t>
      </w:r>
      <w:r w:rsidR="0002046A">
        <w:rPr>
          <w:rFonts w:eastAsia="Aptos" w:cs="Arial"/>
          <w:kern w:val="2"/>
          <w14:ligatures w14:val="standardContextual"/>
        </w:rPr>
        <w:t xml:space="preserve">are proposed </w:t>
      </w:r>
      <w:r w:rsidR="0002046A" w:rsidRPr="00B70E16">
        <w:rPr>
          <w:rFonts w:eastAsia="Aptos" w:cs="Arial"/>
          <w:kern w:val="2"/>
          <w14:ligatures w14:val="standardContextual"/>
        </w:rPr>
        <w:t>for further exploration:</w:t>
      </w:r>
    </w:p>
    <w:p w14:paraId="22004541" w14:textId="7DE7F5B7" w:rsidR="0002046A" w:rsidRPr="00962C59" w:rsidRDefault="0002046A" w:rsidP="007C4142">
      <w:pPr>
        <w:pStyle w:val="ListParagraph"/>
        <w:numPr>
          <w:ilvl w:val="0"/>
          <w:numId w:val="13"/>
        </w:numPr>
        <w:tabs>
          <w:tab w:val="clear" w:pos="426"/>
        </w:tabs>
        <w:spacing w:before="120" w:after="0"/>
        <w:ind w:left="993" w:hanging="284"/>
        <w:rPr>
          <w:rFonts w:cs="Arial"/>
        </w:rPr>
      </w:pPr>
      <w:r w:rsidRPr="00962C59">
        <w:rPr>
          <w:rFonts w:eastAsiaTheme="minorEastAsia" w:cs="Arial"/>
          <w:kern w:val="24"/>
        </w:rPr>
        <w:t xml:space="preserve">delivery of current new homes programmes – Are they on track? The next phase housing acquisition strategy beyond 2030/31 including the mix on offer for PRS, an RSL, and smaller new homes </w:t>
      </w:r>
      <w:proofErr w:type="gramStart"/>
      <w:r w:rsidRPr="00962C59">
        <w:rPr>
          <w:rFonts w:eastAsiaTheme="minorEastAsia" w:cs="Arial"/>
          <w:kern w:val="24"/>
        </w:rPr>
        <w:t>projects;</w:t>
      </w:r>
      <w:proofErr w:type="gramEnd"/>
    </w:p>
    <w:p w14:paraId="29B100AC" w14:textId="67C55EB9" w:rsidR="0002046A" w:rsidRPr="00962C59" w:rsidRDefault="0002046A" w:rsidP="007C4142">
      <w:pPr>
        <w:pStyle w:val="ListParagraph"/>
        <w:numPr>
          <w:ilvl w:val="0"/>
          <w:numId w:val="13"/>
        </w:numPr>
        <w:tabs>
          <w:tab w:val="clear" w:pos="426"/>
        </w:tabs>
        <w:spacing w:before="120" w:after="0"/>
        <w:ind w:left="993" w:hanging="284"/>
        <w:rPr>
          <w:rFonts w:cs="Arial"/>
        </w:rPr>
      </w:pPr>
      <w:r w:rsidRPr="00962C59">
        <w:rPr>
          <w:rFonts w:eastAsiaTheme="minorEastAsia" w:cs="Arial"/>
          <w:kern w:val="24"/>
        </w:rPr>
        <w:t xml:space="preserve">reducing HRA operating costs, in particular, repairs and maintenance costs, by up to £2.5m over 25/26 to 30/31.  To be </w:t>
      </w:r>
      <w:proofErr w:type="gramStart"/>
      <w:r w:rsidRPr="00962C59">
        <w:rPr>
          <w:rFonts w:eastAsiaTheme="minorEastAsia" w:cs="Arial"/>
          <w:kern w:val="24"/>
        </w:rPr>
        <w:t>effected</w:t>
      </w:r>
      <w:proofErr w:type="gramEnd"/>
      <w:r w:rsidRPr="00962C59">
        <w:rPr>
          <w:rFonts w:eastAsiaTheme="minorEastAsia" w:cs="Arial"/>
          <w:kern w:val="24"/>
        </w:rPr>
        <w:t xml:space="preserve"> through annual efficiency targets rising to 5% over the 5 years;</w:t>
      </w:r>
    </w:p>
    <w:p w14:paraId="1A95BBF3" w14:textId="44E35D4F" w:rsidR="0002046A" w:rsidRPr="00962C59" w:rsidRDefault="0002046A" w:rsidP="007C4142">
      <w:pPr>
        <w:pStyle w:val="ListParagraph"/>
        <w:numPr>
          <w:ilvl w:val="0"/>
          <w:numId w:val="13"/>
        </w:numPr>
        <w:tabs>
          <w:tab w:val="clear" w:pos="426"/>
        </w:tabs>
        <w:spacing w:before="120" w:after="0"/>
        <w:ind w:left="993" w:hanging="284"/>
        <w:rPr>
          <w:rFonts w:cs="Arial"/>
        </w:rPr>
      </w:pPr>
      <w:r w:rsidRPr="00962C59">
        <w:rPr>
          <w:rFonts w:eastAsiaTheme="minorEastAsia" w:cs="Arial"/>
          <w:kern w:val="24"/>
        </w:rPr>
        <w:t>increasing operating income</w:t>
      </w:r>
      <w:r w:rsidRPr="00962C59">
        <w:rPr>
          <w:rFonts w:eastAsiaTheme="minorEastAsia" w:cs="Arial"/>
          <w:b/>
          <w:bCs/>
          <w:kern w:val="24"/>
        </w:rPr>
        <w:t xml:space="preserve">, </w:t>
      </w:r>
      <w:r w:rsidRPr="00962C59">
        <w:rPr>
          <w:rFonts w:eastAsiaTheme="minorEastAsia" w:cs="Arial"/>
          <w:kern w:val="24"/>
        </w:rPr>
        <w:t xml:space="preserve">in particular, </w:t>
      </w:r>
      <w:r w:rsidR="00391070">
        <w:rPr>
          <w:rFonts w:eastAsiaTheme="minorEastAsia" w:cs="Arial"/>
          <w:kern w:val="24"/>
        </w:rPr>
        <w:t xml:space="preserve">by </w:t>
      </w:r>
      <w:r w:rsidRPr="00962C59">
        <w:rPr>
          <w:rFonts w:eastAsiaTheme="minorEastAsia" w:cs="Arial"/>
          <w:kern w:val="24"/>
        </w:rPr>
        <w:t>raising service charges to full cost recovery, which could generate up to £1m over 5 years at a cost of approx. £2.15 per month/tenant</w:t>
      </w:r>
      <w:r w:rsidR="0036442F">
        <w:rPr>
          <w:rFonts w:eastAsiaTheme="minorEastAsia" w:cs="Arial"/>
          <w:kern w:val="24"/>
        </w:rPr>
        <w:t>; and</w:t>
      </w:r>
    </w:p>
    <w:p w14:paraId="7D582720" w14:textId="77777777" w:rsidR="0002046A" w:rsidRPr="00B70E16" w:rsidRDefault="0002046A" w:rsidP="007C4142">
      <w:pPr>
        <w:pStyle w:val="ListParagraph"/>
        <w:numPr>
          <w:ilvl w:val="0"/>
          <w:numId w:val="13"/>
        </w:numPr>
        <w:tabs>
          <w:tab w:val="clear" w:pos="426"/>
        </w:tabs>
        <w:spacing w:before="120" w:after="0"/>
        <w:ind w:left="993" w:hanging="284"/>
        <w:rPr>
          <w:rFonts w:cs="Arial"/>
        </w:rPr>
      </w:pPr>
      <w:r w:rsidRPr="00962C59">
        <w:rPr>
          <w:rFonts w:eastAsiaTheme="minorEastAsia" w:cs="Arial"/>
          <w:kern w:val="24"/>
        </w:rPr>
        <w:t>increasing capital through the sale of poor performing assets,</w:t>
      </w:r>
      <w:r>
        <w:rPr>
          <w:rFonts w:eastAsiaTheme="minorEastAsia" w:cs="Arial"/>
          <w:b/>
          <w:bCs/>
          <w:kern w:val="24"/>
        </w:rPr>
        <w:t xml:space="preserve"> </w:t>
      </w:r>
      <w:r w:rsidRPr="00B21BA6">
        <w:rPr>
          <w:rFonts w:eastAsiaTheme="minorEastAsia" w:cs="Arial"/>
          <w:kern w:val="24"/>
        </w:rPr>
        <w:t>by reviewing</w:t>
      </w:r>
      <w:r w:rsidRPr="00B70E16">
        <w:rPr>
          <w:rFonts w:eastAsiaTheme="minorEastAsia" w:cs="Arial"/>
          <w:kern w:val="24"/>
        </w:rPr>
        <w:t xml:space="preserve"> underperforming stock</w:t>
      </w:r>
      <w:r>
        <w:rPr>
          <w:rFonts w:eastAsiaTheme="minorEastAsia" w:cs="Arial"/>
          <w:kern w:val="24"/>
        </w:rPr>
        <w:t xml:space="preserve"> </w:t>
      </w:r>
      <w:r w:rsidRPr="00B70E16">
        <w:rPr>
          <w:rFonts w:eastAsiaTheme="minorEastAsia" w:cs="Arial"/>
          <w:kern w:val="24"/>
        </w:rPr>
        <w:t xml:space="preserve">that do not work socially for </w:t>
      </w:r>
      <w:proofErr w:type="gramStart"/>
      <w:r w:rsidRPr="00B70E16">
        <w:rPr>
          <w:rFonts w:eastAsiaTheme="minorEastAsia" w:cs="Arial"/>
          <w:kern w:val="24"/>
        </w:rPr>
        <w:t>tenants,</w:t>
      </w:r>
      <w:r>
        <w:rPr>
          <w:rFonts w:eastAsiaTheme="minorEastAsia" w:cs="Arial"/>
          <w:kern w:val="24"/>
        </w:rPr>
        <w:t xml:space="preserve"> or</w:t>
      </w:r>
      <w:proofErr w:type="gramEnd"/>
      <w:r>
        <w:rPr>
          <w:rFonts w:eastAsiaTheme="minorEastAsia" w:cs="Arial"/>
          <w:kern w:val="24"/>
        </w:rPr>
        <w:t xml:space="preserve"> are</w:t>
      </w:r>
      <w:r w:rsidRPr="00B70E16">
        <w:rPr>
          <w:rFonts w:eastAsiaTheme="minorEastAsia" w:cs="Arial"/>
          <w:kern w:val="24"/>
        </w:rPr>
        <w:t xml:space="preserve"> expensive to maintain </w:t>
      </w:r>
      <w:r>
        <w:rPr>
          <w:rFonts w:eastAsiaTheme="minorEastAsia" w:cs="Arial"/>
          <w:kern w:val="24"/>
        </w:rPr>
        <w:t xml:space="preserve">and maybe </w:t>
      </w:r>
      <w:r w:rsidRPr="00B70E16">
        <w:rPr>
          <w:rFonts w:eastAsiaTheme="minorEastAsia" w:cs="Arial"/>
          <w:kern w:val="24"/>
        </w:rPr>
        <w:t>beyond maintainable.</w:t>
      </w:r>
      <w:r>
        <w:rPr>
          <w:rFonts w:eastAsiaTheme="minorEastAsia" w:cs="Arial"/>
          <w:kern w:val="24"/>
        </w:rPr>
        <w:t xml:space="preserve"> Initial indication for</w:t>
      </w:r>
      <w:r w:rsidRPr="00B70E16">
        <w:rPr>
          <w:rFonts w:eastAsiaTheme="minorEastAsia" w:cs="Arial"/>
          <w:kern w:val="24"/>
        </w:rPr>
        <w:t xml:space="preserve"> dispos</w:t>
      </w:r>
      <w:r>
        <w:rPr>
          <w:rFonts w:eastAsiaTheme="minorEastAsia" w:cs="Arial"/>
          <w:kern w:val="24"/>
        </w:rPr>
        <w:t>ing</w:t>
      </w:r>
      <w:r w:rsidRPr="00B70E16">
        <w:rPr>
          <w:rFonts w:eastAsiaTheme="minorEastAsia" w:cs="Arial"/>
          <w:kern w:val="24"/>
        </w:rPr>
        <w:t xml:space="preserve"> up to 10 units/</w:t>
      </w:r>
      <w:proofErr w:type="spellStart"/>
      <w:r w:rsidRPr="00B70E16">
        <w:rPr>
          <w:rFonts w:eastAsiaTheme="minorEastAsia" w:cs="Arial"/>
          <w:kern w:val="24"/>
        </w:rPr>
        <w:t>yr</w:t>
      </w:r>
      <w:proofErr w:type="spellEnd"/>
      <w:r w:rsidRPr="00B70E16">
        <w:rPr>
          <w:rFonts w:eastAsiaTheme="minorEastAsia" w:cs="Arial"/>
          <w:kern w:val="24"/>
        </w:rPr>
        <w:t xml:space="preserve"> from 2025/26 for</w:t>
      </w:r>
      <w:r>
        <w:rPr>
          <w:rFonts w:eastAsiaTheme="minorEastAsia" w:cs="Arial"/>
          <w:kern w:val="24"/>
        </w:rPr>
        <w:t xml:space="preserve"> </w:t>
      </w:r>
      <w:r w:rsidRPr="00B70E16">
        <w:rPr>
          <w:rFonts w:eastAsiaTheme="minorEastAsia" w:cs="Arial"/>
          <w:kern w:val="24"/>
        </w:rPr>
        <w:t>10 years.</w:t>
      </w:r>
    </w:p>
    <w:p w14:paraId="39E1EC43" w14:textId="77777777" w:rsidR="0002046A" w:rsidRPr="00BB2EA5" w:rsidRDefault="0002046A" w:rsidP="007C4142">
      <w:pPr>
        <w:spacing w:after="0"/>
        <w:ind w:left="360" w:hanging="360"/>
        <w:rPr>
          <w:rFonts w:cs="Arial"/>
        </w:rPr>
      </w:pPr>
    </w:p>
    <w:p w14:paraId="2B31A713" w14:textId="6FDD4AF3" w:rsidR="0002046A" w:rsidRDefault="0002046A" w:rsidP="007C4142">
      <w:pPr>
        <w:pStyle w:val="ListParagraph"/>
        <w:numPr>
          <w:ilvl w:val="1"/>
          <w:numId w:val="6"/>
        </w:numPr>
        <w:tabs>
          <w:tab w:val="clear" w:pos="426"/>
        </w:tabs>
        <w:spacing w:after="0"/>
        <w:ind w:left="567" w:hanging="567"/>
        <w:rPr>
          <w:rFonts w:cs="Arial"/>
        </w:rPr>
      </w:pPr>
      <w:r w:rsidRPr="00B70E16">
        <w:rPr>
          <w:rFonts w:cs="Arial"/>
        </w:rPr>
        <w:t xml:space="preserve">Taken together the report explains that these measures would </w:t>
      </w:r>
      <w:r>
        <w:rPr>
          <w:rFonts w:cs="Arial"/>
        </w:rPr>
        <w:t xml:space="preserve">enhance </w:t>
      </w:r>
      <w:r w:rsidRPr="00B70E16">
        <w:rPr>
          <w:rFonts w:cs="Arial"/>
        </w:rPr>
        <w:t xml:space="preserve">the baseline by reducing costs, increasing income, and pairing back on debt levels. </w:t>
      </w:r>
      <w:r>
        <w:rPr>
          <w:rFonts w:cs="Arial"/>
        </w:rPr>
        <w:t xml:space="preserve">In the medium term, the measures </w:t>
      </w:r>
      <w:r w:rsidR="00E370E0">
        <w:rPr>
          <w:rFonts w:cs="Arial"/>
        </w:rPr>
        <w:t>could</w:t>
      </w:r>
      <w:r>
        <w:rPr>
          <w:rFonts w:cs="Arial"/>
        </w:rPr>
        <w:t xml:space="preserve"> help </w:t>
      </w:r>
      <w:r w:rsidR="00E370E0">
        <w:rPr>
          <w:rFonts w:cs="Arial"/>
        </w:rPr>
        <w:t xml:space="preserve">to </w:t>
      </w:r>
      <w:r>
        <w:rPr>
          <w:rFonts w:cs="Arial"/>
        </w:rPr>
        <w:t>raise the baseline above the ICR guideline, and borrowing headroom would steadily increase from 2030/31.</w:t>
      </w:r>
    </w:p>
    <w:p w14:paraId="2AE34A7D" w14:textId="77777777" w:rsidR="0002046A" w:rsidRPr="00BB2EA5" w:rsidRDefault="0002046A" w:rsidP="007C4142">
      <w:pPr>
        <w:spacing w:after="0"/>
        <w:rPr>
          <w:rFonts w:cs="Arial"/>
        </w:rPr>
      </w:pPr>
    </w:p>
    <w:p w14:paraId="50A01F27" w14:textId="2D9118B8" w:rsidR="0002046A" w:rsidRPr="00547BCA" w:rsidRDefault="0002046A" w:rsidP="007C4142">
      <w:pPr>
        <w:pStyle w:val="ListParagraph"/>
        <w:numPr>
          <w:ilvl w:val="1"/>
          <w:numId w:val="6"/>
        </w:numPr>
        <w:tabs>
          <w:tab w:val="clear" w:pos="426"/>
        </w:tabs>
        <w:spacing w:after="0"/>
        <w:ind w:left="567" w:hanging="567"/>
        <w:rPr>
          <w:rFonts w:cs="Arial"/>
        </w:rPr>
      </w:pPr>
      <w:r w:rsidRPr="00974BC6">
        <w:rPr>
          <w:rFonts w:cs="Arial"/>
        </w:rPr>
        <w:t>Th</w:t>
      </w:r>
      <w:r>
        <w:rPr>
          <w:rFonts w:cs="Arial"/>
        </w:rPr>
        <w:t xml:space="preserve">is outlook would </w:t>
      </w:r>
      <w:r w:rsidR="00E370E0">
        <w:rPr>
          <w:rFonts w:cs="Arial"/>
        </w:rPr>
        <w:t xml:space="preserve">enable </w:t>
      </w:r>
      <w:r>
        <w:rPr>
          <w:rFonts w:cs="Arial"/>
        </w:rPr>
        <w:t>th</w:t>
      </w:r>
      <w:r w:rsidRPr="00974BC6">
        <w:rPr>
          <w:rFonts w:cs="Arial"/>
        </w:rPr>
        <w:t xml:space="preserve">e Council </w:t>
      </w:r>
      <w:r>
        <w:rPr>
          <w:rFonts w:cs="Arial"/>
        </w:rPr>
        <w:t xml:space="preserve">to </w:t>
      </w:r>
      <w:r w:rsidRPr="00974BC6">
        <w:rPr>
          <w:rFonts w:cs="Arial"/>
        </w:rPr>
        <w:t xml:space="preserve">begin </w:t>
      </w:r>
      <w:r w:rsidR="00E370E0">
        <w:rPr>
          <w:rFonts w:cs="Arial"/>
        </w:rPr>
        <w:t xml:space="preserve">to </w:t>
      </w:r>
      <w:r w:rsidRPr="00974BC6">
        <w:rPr>
          <w:rFonts w:cs="Arial"/>
        </w:rPr>
        <w:t>consider its future priorities and options for investing the HRA from 20</w:t>
      </w:r>
      <w:r>
        <w:rPr>
          <w:rFonts w:cs="Arial"/>
        </w:rPr>
        <w:t>30</w:t>
      </w:r>
      <w:r w:rsidRPr="00974BC6">
        <w:rPr>
          <w:rFonts w:cs="Arial"/>
        </w:rPr>
        <w:t>/3</w:t>
      </w:r>
      <w:r>
        <w:rPr>
          <w:rFonts w:cs="Arial"/>
        </w:rPr>
        <w:t>1.</w:t>
      </w:r>
      <w:r w:rsidRPr="00974BC6">
        <w:rPr>
          <w:rFonts w:cs="Arial"/>
        </w:rPr>
        <w:t xml:space="preserve"> </w:t>
      </w:r>
    </w:p>
    <w:p w14:paraId="29D7FC34" w14:textId="77777777" w:rsidR="0002046A" w:rsidRDefault="0002046A" w:rsidP="0002046A">
      <w:pPr>
        <w:ind w:left="567"/>
        <w:rPr>
          <w:rFonts w:cs="Arial"/>
          <w:b/>
          <w:bCs/>
        </w:rPr>
      </w:pPr>
    </w:p>
    <w:p w14:paraId="5DF312FB" w14:textId="6A94691D" w:rsidR="0002046A" w:rsidRPr="00A40DA0" w:rsidRDefault="0002046A" w:rsidP="00547BCA">
      <w:pPr>
        <w:spacing w:after="0"/>
        <w:ind w:left="567"/>
        <w:rPr>
          <w:rFonts w:cs="Arial"/>
          <w:b/>
          <w:bCs/>
        </w:rPr>
      </w:pPr>
      <w:r w:rsidRPr="00A40DA0">
        <w:rPr>
          <w:rFonts w:cs="Arial"/>
          <w:b/>
          <w:bCs/>
        </w:rPr>
        <w:t>Addendum</w:t>
      </w:r>
    </w:p>
    <w:p w14:paraId="512C1AF2" w14:textId="77777777" w:rsidR="0002046A" w:rsidRPr="00A40DA0" w:rsidRDefault="0002046A" w:rsidP="00547BCA">
      <w:pPr>
        <w:spacing w:after="0"/>
        <w:rPr>
          <w:rFonts w:cs="Arial"/>
        </w:rPr>
      </w:pPr>
    </w:p>
    <w:p w14:paraId="2412A81B" w14:textId="08267435" w:rsidR="0002046A" w:rsidRDefault="00797D74" w:rsidP="00547BCA">
      <w:pPr>
        <w:pStyle w:val="ListParagraph"/>
        <w:numPr>
          <w:ilvl w:val="1"/>
          <w:numId w:val="6"/>
        </w:numPr>
        <w:tabs>
          <w:tab w:val="clear" w:pos="426"/>
        </w:tabs>
        <w:spacing w:after="0"/>
        <w:ind w:left="567" w:hanging="567"/>
        <w:rPr>
          <w:rFonts w:cs="Arial"/>
        </w:rPr>
      </w:pPr>
      <w:r>
        <w:rPr>
          <w:rFonts w:cs="Arial"/>
        </w:rPr>
        <w:t xml:space="preserve">In the </w:t>
      </w:r>
      <w:r w:rsidR="0002046A">
        <w:rPr>
          <w:rFonts w:cs="Arial"/>
        </w:rPr>
        <w:t>October</w:t>
      </w:r>
      <w:r>
        <w:rPr>
          <w:rFonts w:cs="Arial"/>
        </w:rPr>
        <w:t xml:space="preserve"> budget, the </w:t>
      </w:r>
      <w:r w:rsidR="0002046A">
        <w:rPr>
          <w:rFonts w:cs="Arial"/>
        </w:rPr>
        <w:t>Government announce</w:t>
      </w:r>
      <w:r>
        <w:rPr>
          <w:rFonts w:cs="Arial"/>
        </w:rPr>
        <w:t>d</w:t>
      </w:r>
      <w:r w:rsidR="0002046A">
        <w:rPr>
          <w:rFonts w:cs="Arial"/>
        </w:rPr>
        <w:t xml:space="preserve"> changes to the rent policy to retain the current rent formula at CPI plus 1% for </w:t>
      </w:r>
      <w:r>
        <w:rPr>
          <w:rFonts w:cs="Arial"/>
        </w:rPr>
        <w:t>five years from 2025/26</w:t>
      </w:r>
      <w:r w:rsidR="0002046A">
        <w:rPr>
          <w:rFonts w:cs="Arial"/>
        </w:rPr>
        <w:t xml:space="preserve">. </w:t>
      </w:r>
    </w:p>
    <w:p w14:paraId="7AC7E6C0" w14:textId="77777777" w:rsidR="0002046A" w:rsidRDefault="0002046A" w:rsidP="00547BCA">
      <w:pPr>
        <w:pStyle w:val="ListParagraph"/>
        <w:numPr>
          <w:ilvl w:val="0"/>
          <w:numId w:val="0"/>
        </w:numPr>
        <w:spacing w:after="0"/>
        <w:ind w:left="567"/>
        <w:rPr>
          <w:rFonts w:cs="Arial"/>
        </w:rPr>
      </w:pPr>
    </w:p>
    <w:p w14:paraId="66297CED" w14:textId="7CFAE6B2" w:rsidR="0002046A" w:rsidRPr="00744888" w:rsidRDefault="00797D74" w:rsidP="00744888">
      <w:pPr>
        <w:pStyle w:val="ListParagraph"/>
        <w:numPr>
          <w:ilvl w:val="1"/>
          <w:numId w:val="6"/>
        </w:numPr>
        <w:tabs>
          <w:tab w:val="clear" w:pos="426"/>
        </w:tabs>
        <w:spacing w:after="0"/>
        <w:ind w:left="567" w:hanging="567"/>
        <w:rPr>
          <w:rFonts w:cs="Arial"/>
        </w:rPr>
      </w:pPr>
      <w:r>
        <w:rPr>
          <w:rFonts w:cs="Arial"/>
        </w:rPr>
        <w:t xml:space="preserve">The attached Addendum at </w:t>
      </w:r>
      <w:r w:rsidRPr="00DF246D">
        <w:rPr>
          <w:rFonts w:cs="Arial"/>
          <w:b/>
          <w:bCs/>
        </w:rPr>
        <w:t>Annex B</w:t>
      </w:r>
      <w:r w:rsidR="0002046A">
        <w:rPr>
          <w:rFonts w:cs="Arial"/>
        </w:rPr>
        <w:t xml:space="preserve"> explains the impact </w:t>
      </w:r>
      <w:r>
        <w:rPr>
          <w:rFonts w:cs="Arial"/>
        </w:rPr>
        <w:t xml:space="preserve">of this </w:t>
      </w:r>
      <w:r w:rsidR="0002046A">
        <w:rPr>
          <w:rFonts w:cs="Arial"/>
        </w:rPr>
        <w:t xml:space="preserve">policy change on the </w:t>
      </w:r>
      <w:r>
        <w:rPr>
          <w:rFonts w:cs="Arial"/>
        </w:rPr>
        <w:t xml:space="preserve">HRA </w:t>
      </w:r>
      <w:r w:rsidR="0002046A">
        <w:rPr>
          <w:rFonts w:cs="Arial"/>
        </w:rPr>
        <w:t>baseline. In essence, b</w:t>
      </w:r>
      <w:r w:rsidR="0002046A" w:rsidRPr="00660764">
        <w:rPr>
          <w:rFonts w:cs="Arial"/>
        </w:rPr>
        <w:t xml:space="preserve">y improving our income assumptions from 2026, the policy change for up to 5 years </w:t>
      </w:r>
      <w:r w:rsidR="0002046A">
        <w:rPr>
          <w:rFonts w:cs="Arial"/>
        </w:rPr>
        <w:t xml:space="preserve">would provide more income available to repay debt and </w:t>
      </w:r>
      <w:r w:rsidR="0002046A" w:rsidRPr="00660764">
        <w:rPr>
          <w:rFonts w:cs="Arial"/>
        </w:rPr>
        <w:t xml:space="preserve">should </w:t>
      </w:r>
      <w:r w:rsidR="0002046A">
        <w:rPr>
          <w:rFonts w:cs="Arial"/>
        </w:rPr>
        <w:t xml:space="preserve">therefore </w:t>
      </w:r>
      <w:r w:rsidR="0002046A" w:rsidRPr="00660764">
        <w:rPr>
          <w:rFonts w:cs="Arial"/>
        </w:rPr>
        <w:t xml:space="preserve">help to raise the </w:t>
      </w:r>
      <w:r w:rsidR="0002046A">
        <w:rPr>
          <w:rFonts w:cs="Arial"/>
        </w:rPr>
        <w:t xml:space="preserve">baseline </w:t>
      </w:r>
      <w:r w:rsidR="0002046A" w:rsidRPr="00660764">
        <w:rPr>
          <w:rFonts w:cs="Arial"/>
        </w:rPr>
        <w:t>ICR above the 125% guideline</w:t>
      </w:r>
      <w:bookmarkStart w:id="1" w:name="_Hlk179953905"/>
      <w:r w:rsidR="0002046A" w:rsidRPr="00660764">
        <w:rPr>
          <w:rFonts w:cs="Arial"/>
        </w:rPr>
        <w:t xml:space="preserve">. In addition to the measures </w:t>
      </w:r>
      <w:r w:rsidR="0002046A">
        <w:rPr>
          <w:rFonts w:cs="Arial"/>
        </w:rPr>
        <w:t xml:space="preserve">at paragraph 3.12 </w:t>
      </w:r>
      <w:r w:rsidR="0002046A" w:rsidRPr="00660764">
        <w:rPr>
          <w:rFonts w:cs="Arial"/>
        </w:rPr>
        <w:t xml:space="preserve">above, </w:t>
      </w:r>
      <w:r w:rsidR="0002046A">
        <w:rPr>
          <w:rFonts w:cs="Arial"/>
        </w:rPr>
        <w:t xml:space="preserve">the change </w:t>
      </w:r>
      <w:r w:rsidR="0002046A" w:rsidRPr="00660764">
        <w:rPr>
          <w:rFonts w:cs="Arial"/>
        </w:rPr>
        <w:t>would also provide a steadily improving borrowing headroom from 2030.</w:t>
      </w:r>
      <w:bookmarkEnd w:id="1"/>
    </w:p>
    <w:p w14:paraId="4A1CA043" w14:textId="77777777" w:rsidR="007C4142" w:rsidRPr="00744888" w:rsidRDefault="007C4142" w:rsidP="00744888">
      <w:pPr>
        <w:rPr>
          <w:rFonts w:cs="Arial"/>
          <w:u w:val="single"/>
        </w:rPr>
      </w:pPr>
    </w:p>
    <w:p w14:paraId="09A574B3" w14:textId="5A915FFD" w:rsidR="0002046A" w:rsidRDefault="0002046A" w:rsidP="00547BCA">
      <w:pPr>
        <w:pStyle w:val="ListParagraph"/>
        <w:numPr>
          <w:ilvl w:val="0"/>
          <w:numId w:val="0"/>
        </w:numPr>
        <w:spacing w:after="0"/>
        <w:ind w:left="567"/>
        <w:rPr>
          <w:rFonts w:cs="Arial"/>
          <w:b/>
          <w:bCs/>
        </w:rPr>
      </w:pPr>
      <w:r w:rsidRPr="001E177A">
        <w:rPr>
          <w:rFonts w:cs="Arial"/>
          <w:b/>
          <w:bCs/>
        </w:rPr>
        <w:t xml:space="preserve">Future </w:t>
      </w:r>
      <w:r>
        <w:rPr>
          <w:rFonts w:cs="Arial"/>
          <w:b/>
          <w:bCs/>
        </w:rPr>
        <w:t>i</w:t>
      </w:r>
      <w:r w:rsidRPr="001E177A">
        <w:rPr>
          <w:rFonts w:cs="Arial"/>
          <w:b/>
          <w:bCs/>
        </w:rPr>
        <w:t xml:space="preserve">nvestment </w:t>
      </w:r>
    </w:p>
    <w:p w14:paraId="66BE2751" w14:textId="77777777" w:rsidR="007C4142" w:rsidRPr="00547BCA" w:rsidRDefault="007C4142" w:rsidP="00547BCA">
      <w:pPr>
        <w:pStyle w:val="ListParagraph"/>
        <w:numPr>
          <w:ilvl w:val="0"/>
          <w:numId w:val="0"/>
        </w:numPr>
        <w:spacing w:after="0"/>
        <w:ind w:left="567"/>
        <w:rPr>
          <w:rFonts w:cs="Arial"/>
          <w:b/>
          <w:bCs/>
        </w:rPr>
      </w:pPr>
    </w:p>
    <w:p w14:paraId="4562F3EA" w14:textId="662614F7" w:rsidR="006675D0" w:rsidRPr="006675D0" w:rsidRDefault="0002046A" w:rsidP="006675D0">
      <w:pPr>
        <w:pStyle w:val="ListParagraph"/>
        <w:numPr>
          <w:ilvl w:val="1"/>
          <w:numId w:val="6"/>
        </w:numPr>
        <w:tabs>
          <w:tab w:val="clear" w:pos="426"/>
        </w:tabs>
        <w:spacing w:after="0"/>
        <w:ind w:left="567" w:hanging="567"/>
        <w:rPr>
          <w:rFonts w:cs="Arial"/>
          <w:color w:val="auto"/>
        </w:rPr>
      </w:pPr>
      <w:r w:rsidRPr="00D72854">
        <w:rPr>
          <w:rFonts w:cs="Arial"/>
        </w:rPr>
        <w:t xml:space="preserve">The </w:t>
      </w:r>
      <w:r>
        <w:rPr>
          <w:rFonts w:cs="Arial"/>
        </w:rPr>
        <w:t xml:space="preserve">baseline </w:t>
      </w:r>
      <w:r w:rsidRPr="00D72854">
        <w:rPr>
          <w:rFonts w:cs="Arial"/>
        </w:rPr>
        <w:t>anticipate</w:t>
      </w:r>
      <w:r>
        <w:rPr>
          <w:rFonts w:cs="Arial"/>
        </w:rPr>
        <w:t>s</w:t>
      </w:r>
      <w:r w:rsidRPr="00D72854">
        <w:rPr>
          <w:rFonts w:cs="Arial"/>
        </w:rPr>
        <w:t xml:space="preserve"> </w:t>
      </w:r>
      <w:r>
        <w:rPr>
          <w:rFonts w:cs="Arial"/>
        </w:rPr>
        <w:t xml:space="preserve">available HRA borrowing </w:t>
      </w:r>
      <w:r w:rsidRPr="00D72854">
        <w:rPr>
          <w:rFonts w:cs="Arial"/>
        </w:rPr>
        <w:t>headroom</w:t>
      </w:r>
      <w:r>
        <w:rPr>
          <w:rFonts w:cs="Arial"/>
        </w:rPr>
        <w:t xml:space="preserve"> </w:t>
      </w:r>
      <w:r w:rsidR="006675D0" w:rsidRPr="004E6607">
        <w:rPr>
          <w:rFonts w:cs="Arial"/>
          <w:color w:val="auto"/>
        </w:rPr>
        <w:t>increas</w:t>
      </w:r>
      <w:r w:rsidR="006675D0">
        <w:rPr>
          <w:rFonts w:cs="Arial"/>
          <w:color w:val="auto"/>
        </w:rPr>
        <w:t>ing</w:t>
      </w:r>
      <w:r w:rsidR="006675D0" w:rsidRPr="004E6607">
        <w:rPr>
          <w:rFonts w:cs="Arial"/>
          <w:color w:val="auto"/>
        </w:rPr>
        <w:t xml:space="preserve"> from £6.5m in 2031 rising to £26m </w:t>
      </w:r>
      <w:r w:rsidR="006675D0" w:rsidRPr="004E6607">
        <w:rPr>
          <w:rFonts w:cs="Arial"/>
        </w:rPr>
        <w:t>by 2041</w:t>
      </w:r>
      <w:r w:rsidR="006675D0">
        <w:rPr>
          <w:rFonts w:cs="Arial"/>
        </w:rPr>
        <w:t xml:space="preserve"> - </w:t>
      </w:r>
      <w:r w:rsidR="006744B3">
        <w:rPr>
          <w:rFonts w:cs="Arial"/>
        </w:rPr>
        <w:t xml:space="preserve">subject to implementing the measures at </w:t>
      </w:r>
      <w:r w:rsidR="006744B3">
        <w:rPr>
          <w:rFonts w:cs="Arial"/>
        </w:rPr>
        <w:lastRenderedPageBreak/>
        <w:t>paragraph 2.12 above</w:t>
      </w:r>
      <w:r>
        <w:rPr>
          <w:rFonts w:cs="Arial"/>
        </w:rPr>
        <w:t xml:space="preserve">. </w:t>
      </w:r>
      <w:r w:rsidR="006675D0">
        <w:rPr>
          <w:rFonts w:cs="Arial"/>
        </w:rPr>
        <w:t xml:space="preserve"> In addition, t</w:t>
      </w:r>
      <w:r w:rsidR="006675D0" w:rsidRPr="004E6607">
        <w:rPr>
          <w:color w:val="auto"/>
        </w:rPr>
        <w:t xml:space="preserve">he recently announced rent policy increase by CPI+1% for 5 years from 2025/26, </w:t>
      </w:r>
      <w:r w:rsidR="006675D0">
        <w:rPr>
          <w:color w:val="auto"/>
        </w:rPr>
        <w:t>c</w:t>
      </w:r>
      <w:r w:rsidR="006675D0" w:rsidRPr="004E6607">
        <w:rPr>
          <w:color w:val="auto"/>
        </w:rPr>
        <w:t>ould lead to a</w:t>
      </w:r>
      <w:r w:rsidR="006675D0">
        <w:rPr>
          <w:color w:val="auto"/>
        </w:rPr>
        <w:t xml:space="preserve"> further </w:t>
      </w:r>
      <w:r w:rsidR="006675D0" w:rsidRPr="004E6607">
        <w:rPr>
          <w:color w:val="auto"/>
        </w:rPr>
        <w:t>increase in the amount of borrowing the HRA could undertake, and earlier, by approximately £70m between 2029/30 and 2031/32.</w:t>
      </w:r>
      <w:r w:rsidR="006675D0" w:rsidRPr="006675D0">
        <w:rPr>
          <w:rFonts w:cs="Arial"/>
        </w:rPr>
        <w:t xml:space="preserve"> </w:t>
      </w:r>
      <w:r w:rsidR="006675D0">
        <w:rPr>
          <w:rFonts w:cs="Arial"/>
        </w:rPr>
        <w:t xml:space="preserve"> </w:t>
      </w:r>
    </w:p>
    <w:p w14:paraId="6F043102" w14:textId="77777777" w:rsidR="006675D0" w:rsidRPr="006675D0" w:rsidRDefault="006675D0" w:rsidP="006675D0">
      <w:pPr>
        <w:pStyle w:val="ListParagraph"/>
        <w:numPr>
          <w:ilvl w:val="0"/>
          <w:numId w:val="0"/>
        </w:numPr>
        <w:tabs>
          <w:tab w:val="clear" w:pos="426"/>
        </w:tabs>
        <w:spacing w:after="0"/>
        <w:ind w:left="567"/>
        <w:rPr>
          <w:rFonts w:cs="Arial"/>
          <w:color w:val="auto"/>
        </w:rPr>
      </w:pPr>
    </w:p>
    <w:p w14:paraId="2B7ABDFC" w14:textId="5A85F135" w:rsidR="0002046A" w:rsidRPr="007C2615" w:rsidRDefault="006675D0" w:rsidP="007C2615">
      <w:pPr>
        <w:pStyle w:val="ListParagraph"/>
        <w:numPr>
          <w:ilvl w:val="1"/>
          <w:numId w:val="6"/>
        </w:numPr>
        <w:tabs>
          <w:tab w:val="clear" w:pos="426"/>
        </w:tabs>
        <w:spacing w:after="0"/>
        <w:ind w:left="567" w:hanging="567"/>
        <w:rPr>
          <w:rFonts w:cs="Arial"/>
          <w:color w:val="auto"/>
        </w:rPr>
      </w:pPr>
      <w:r>
        <w:rPr>
          <w:rFonts w:cs="Arial"/>
        </w:rPr>
        <w:t>Overall, the</w:t>
      </w:r>
      <w:r w:rsidRPr="004E6607">
        <w:rPr>
          <w:rFonts w:cs="Arial"/>
        </w:rPr>
        <w:t xml:space="preserve"> </w:t>
      </w:r>
      <w:r w:rsidR="005D30A4">
        <w:rPr>
          <w:rFonts w:cs="Arial"/>
        </w:rPr>
        <w:t xml:space="preserve">updated </w:t>
      </w:r>
      <w:r>
        <w:rPr>
          <w:rFonts w:cs="Arial"/>
        </w:rPr>
        <w:t xml:space="preserve">projected baseline </w:t>
      </w:r>
      <w:r w:rsidRPr="004E6607">
        <w:rPr>
          <w:rFonts w:cs="Arial"/>
        </w:rPr>
        <w:t xml:space="preserve">could provide </w:t>
      </w:r>
      <w:r w:rsidR="001347E5">
        <w:rPr>
          <w:rFonts w:cs="Arial"/>
        </w:rPr>
        <w:t xml:space="preserve">the possibilities </w:t>
      </w:r>
      <w:r w:rsidRPr="004E6607">
        <w:rPr>
          <w:rFonts w:cs="Arial"/>
        </w:rPr>
        <w:t xml:space="preserve">for new </w:t>
      </w:r>
      <w:r>
        <w:rPr>
          <w:rFonts w:cs="Arial"/>
        </w:rPr>
        <w:t xml:space="preserve">HRA </w:t>
      </w:r>
      <w:r w:rsidRPr="004E6607">
        <w:rPr>
          <w:rFonts w:cs="Arial"/>
        </w:rPr>
        <w:t xml:space="preserve">borrowing </w:t>
      </w:r>
      <w:r>
        <w:rPr>
          <w:rFonts w:cs="Arial"/>
        </w:rPr>
        <w:t xml:space="preserve">of </w:t>
      </w:r>
      <w:r w:rsidRPr="004E6607">
        <w:rPr>
          <w:rFonts w:cs="Arial"/>
        </w:rPr>
        <w:t xml:space="preserve">up to </w:t>
      </w:r>
      <w:r w:rsidRPr="004E6607">
        <w:rPr>
          <w:rFonts w:cs="Arial"/>
          <w:color w:val="auto"/>
        </w:rPr>
        <w:t>£</w:t>
      </w:r>
      <w:r w:rsidR="001347E5">
        <w:rPr>
          <w:rFonts w:cs="Arial"/>
          <w:color w:val="auto"/>
        </w:rPr>
        <w:t>70</w:t>
      </w:r>
      <w:r w:rsidR="00C20F48">
        <w:rPr>
          <w:rFonts w:cs="Arial"/>
          <w:color w:val="auto"/>
        </w:rPr>
        <w:t>0</w:t>
      </w:r>
      <w:r w:rsidRPr="004E6607">
        <w:rPr>
          <w:rFonts w:cs="Arial"/>
          <w:color w:val="auto"/>
        </w:rPr>
        <w:t>m over th</w:t>
      </w:r>
      <w:r>
        <w:rPr>
          <w:rFonts w:cs="Arial"/>
          <w:color w:val="auto"/>
        </w:rPr>
        <w:t>e</w:t>
      </w:r>
      <w:r w:rsidRPr="004E6607">
        <w:rPr>
          <w:rFonts w:cs="Arial"/>
          <w:color w:val="auto"/>
        </w:rPr>
        <w:t xml:space="preserve"> 10-year period</w:t>
      </w:r>
      <w:r>
        <w:rPr>
          <w:rFonts w:cs="Arial"/>
          <w:color w:val="auto"/>
        </w:rPr>
        <w:t xml:space="preserve"> between </w:t>
      </w:r>
      <w:r w:rsidR="007C2615">
        <w:rPr>
          <w:rFonts w:cs="Arial"/>
          <w:color w:val="auto"/>
        </w:rPr>
        <w:t>2030 to 2040</w:t>
      </w:r>
      <w:r w:rsidRPr="004E6607">
        <w:rPr>
          <w:rFonts w:cs="Arial"/>
          <w:color w:val="auto"/>
        </w:rPr>
        <w:t>.</w:t>
      </w:r>
      <w:r w:rsidR="007C2615">
        <w:rPr>
          <w:rFonts w:cs="Arial"/>
          <w:color w:val="auto"/>
        </w:rPr>
        <w:t xml:space="preserve"> </w:t>
      </w:r>
      <w:r w:rsidR="0002046A" w:rsidRPr="007C2615">
        <w:rPr>
          <w:rFonts w:cs="Arial"/>
        </w:rPr>
        <w:t xml:space="preserve">This presents the Council </w:t>
      </w:r>
      <w:r w:rsidR="007C2615">
        <w:rPr>
          <w:rFonts w:cs="Arial"/>
        </w:rPr>
        <w:t xml:space="preserve">the </w:t>
      </w:r>
      <w:r w:rsidR="0002046A" w:rsidRPr="007C2615">
        <w:rPr>
          <w:rFonts w:cs="Arial"/>
        </w:rPr>
        <w:t xml:space="preserve">opportunity to consider and plan for its future investment choices for the HRA. </w:t>
      </w:r>
    </w:p>
    <w:p w14:paraId="7900C5E4" w14:textId="77777777" w:rsidR="004E6607" w:rsidRPr="006675D0" w:rsidRDefault="004E6607" w:rsidP="006675D0">
      <w:pPr>
        <w:spacing w:after="0"/>
        <w:rPr>
          <w:rFonts w:cs="Arial"/>
        </w:rPr>
      </w:pPr>
    </w:p>
    <w:p w14:paraId="5E0E24F4" w14:textId="557EB55E" w:rsidR="0002046A" w:rsidRPr="001A733F" w:rsidRDefault="0002046A" w:rsidP="006675D0">
      <w:pPr>
        <w:pStyle w:val="ListParagraph"/>
        <w:numPr>
          <w:ilvl w:val="1"/>
          <w:numId w:val="6"/>
        </w:numPr>
        <w:tabs>
          <w:tab w:val="clear" w:pos="426"/>
        </w:tabs>
        <w:spacing w:after="0"/>
        <w:ind w:left="567" w:hanging="567"/>
        <w:rPr>
          <w:rFonts w:cs="Arial"/>
        </w:rPr>
      </w:pPr>
      <w:r w:rsidRPr="004E6607">
        <w:rPr>
          <w:rFonts w:cs="Arial"/>
        </w:rPr>
        <w:t xml:space="preserve">Council </w:t>
      </w:r>
      <w:r w:rsidR="006744B3" w:rsidRPr="004E6607">
        <w:rPr>
          <w:rFonts w:cs="Arial"/>
        </w:rPr>
        <w:t>is therefore able</w:t>
      </w:r>
      <w:r w:rsidR="00962C59" w:rsidRPr="004E6607">
        <w:rPr>
          <w:rFonts w:cs="Arial"/>
        </w:rPr>
        <w:t xml:space="preserve"> </w:t>
      </w:r>
      <w:r w:rsidRPr="004E6607">
        <w:rPr>
          <w:rFonts w:cs="Arial"/>
        </w:rPr>
        <w:t xml:space="preserve">to </w:t>
      </w:r>
      <w:r w:rsidR="006744B3" w:rsidRPr="004E6607">
        <w:rPr>
          <w:rFonts w:cs="Arial"/>
        </w:rPr>
        <w:t xml:space="preserve">begin to </w:t>
      </w:r>
      <w:r w:rsidR="00962C59" w:rsidRPr="004E6607">
        <w:rPr>
          <w:rFonts w:cs="Arial"/>
        </w:rPr>
        <w:t xml:space="preserve">prepare </w:t>
      </w:r>
      <w:r w:rsidRPr="004E6607">
        <w:rPr>
          <w:rFonts w:cs="Arial"/>
        </w:rPr>
        <w:t>its investment choices for making best use</w:t>
      </w:r>
      <w:r>
        <w:rPr>
          <w:rFonts w:cs="Arial"/>
        </w:rPr>
        <w:t xml:space="preserve"> of available </w:t>
      </w:r>
      <w:r w:rsidRPr="001A733F">
        <w:rPr>
          <w:rFonts w:cs="Arial"/>
        </w:rPr>
        <w:t xml:space="preserve">HRA </w:t>
      </w:r>
      <w:r>
        <w:rPr>
          <w:rFonts w:cs="Arial"/>
        </w:rPr>
        <w:t xml:space="preserve">funding </w:t>
      </w:r>
      <w:r w:rsidR="006744B3">
        <w:rPr>
          <w:rFonts w:cs="Arial"/>
        </w:rPr>
        <w:t xml:space="preserve">beyond the medium </w:t>
      </w:r>
      <w:r w:rsidRPr="001A733F">
        <w:rPr>
          <w:rFonts w:cs="Arial"/>
        </w:rPr>
        <w:t xml:space="preserve">term. The Council </w:t>
      </w:r>
      <w:r w:rsidR="006744B3" w:rsidRPr="001A733F">
        <w:rPr>
          <w:rFonts w:cs="Arial"/>
        </w:rPr>
        <w:t xml:space="preserve">is </w:t>
      </w:r>
      <w:r w:rsidR="006744B3">
        <w:rPr>
          <w:rFonts w:cs="Arial"/>
        </w:rPr>
        <w:t xml:space="preserve">already </w:t>
      </w:r>
      <w:r w:rsidR="001E6B7C">
        <w:rPr>
          <w:rFonts w:cs="Arial"/>
        </w:rPr>
        <w:t xml:space="preserve">undertaking the following </w:t>
      </w:r>
      <w:r w:rsidR="006744B3" w:rsidRPr="001A733F">
        <w:rPr>
          <w:rFonts w:cs="Arial"/>
        </w:rPr>
        <w:t>pieces of work</w:t>
      </w:r>
      <w:r w:rsidR="001E6B7C">
        <w:rPr>
          <w:rFonts w:cs="Arial"/>
        </w:rPr>
        <w:t>, which</w:t>
      </w:r>
      <w:r w:rsidR="006744B3">
        <w:rPr>
          <w:rFonts w:cs="Arial"/>
        </w:rPr>
        <w:t xml:space="preserve"> </w:t>
      </w:r>
      <w:r w:rsidR="001E6B7C">
        <w:rPr>
          <w:rFonts w:cs="Arial"/>
        </w:rPr>
        <w:t xml:space="preserve">should go some way </w:t>
      </w:r>
      <w:r w:rsidRPr="001A733F">
        <w:rPr>
          <w:rFonts w:cs="Arial"/>
        </w:rPr>
        <w:t>to</w:t>
      </w:r>
      <w:r w:rsidR="006744B3">
        <w:rPr>
          <w:rFonts w:cs="Arial"/>
        </w:rPr>
        <w:t xml:space="preserve"> develop</w:t>
      </w:r>
      <w:r w:rsidR="001E6B7C">
        <w:rPr>
          <w:rFonts w:cs="Arial"/>
        </w:rPr>
        <w:t>ing</w:t>
      </w:r>
      <w:r w:rsidR="006744B3">
        <w:rPr>
          <w:rFonts w:cs="Arial"/>
        </w:rPr>
        <w:t xml:space="preserve"> those investment </w:t>
      </w:r>
      <w:r w:rsidRPr="001A733F">
        <w:rPr>
          <w:rFonts w:cs="Arial"/>
        </w:rPr>
        <w:t>options</w:t>
      </w:r>
      <w:r>
        <w:rPr>
          <w:rFonts w:cs="Arial"/>
        </w:rPr>
        <w:t>:</w:t>
      </w:r>
    </w:p>
    <w:p w14:paraId="5FAC7E2E" w14:textId="5EDA94FA" w:rsidR="0002046A" w:rsidRPr="00D72854" w:rsidRDefault="0002046A" w:rsidP="0002046A">
      <w:pPr>
        <w:pStyle w:val="ListParagraph"/>
        <w:numPr>
          <w:ilvl w:val="0"/>
          <w:numId w:val="14"/>
        </w:numPr>
        <w:tabs>
          <w:tab w:val="clear" w:pos="426"/>
        </w:tabs>
        <w:spacing w:before="120" w:after="0"/>
        <w:ind w:left="993" w:hanging="284"/>
        <w:rPr>
          <w:rFonts w:cs="Arial"/>
        </w:rPr>
      </w:pPr>
      <w:r w:rsidRPr="00D72854">
        <w:rPr>
          <w:rFonts w:cs="Arial"/>
        </w:rPr>
        <w:t xml:space="preserve">preparation of </w:t>
      </w:r>
      <w:r>
        <w:rPr>
          <w:rFonts w:cs="Arial"/>
        </w:rPr>
        <w:t xml:space="preserve">HRA </w:t>
      </w:r>
      <w:r w:rsidRPr="00D72854">
        <w:rPr>
          <w:rFonts w:cs="Arial"/>
        </w:rPr>
        <w:t>asset strategy</w:t>
      </w:r>
      <w:r>
        <w:rPr>
          <w:rFonts w:cs="Arial"/>
        </w:rPr>
        <w:t>,</w:t>
      </w:r>
      <w:r w:rsidRPr="00D72854">
        <w:rPr>
          <w:rFonts w:cs="Arial"/>
        </w:rPr>
        <w:t xml:space="preserve"> and </w:t>
      </w:r>
      <w:r w:rsidR="006744B3" w:rsidRPr="00D72854">
        <w:rPr>
          <w:rFonts w:cs="Arial"/>
        </w:rPr>
        <w:t>5-year</w:t>
      </w:r>
      <w:r w:rsidRPr="00D72854">
        <w:rPr>
          <w:rFonts w:cs="Arial"/>
        </w:rPr>
        <w:t xml:space="preserve"> investment </w:t>
      </w:r>
      <w:proofErr w:type="gramStart"/>
      <w:r w:rsidRPr="00D72854">
        <w:rPr>
          <w:rFonts w:cs="Arial"/>
        </w:rPr>
        <w:t>plan;</w:t>
      </w:r>
      <w:proofErr w:type="gramEnd"/>
    </w:p>
    <w:p w14:paraId="777186DF" w14:textId="510CEFC6" w:rsidR="0002046A" w:rsidRPr="008A490B" w:rsidRDefault="0002046A" w:rsidP="0002046A">
      <w:pPr>
        <w:pStyle w:val="ListParagraph"/>
        <w:numPr>
          <w:ilvl w:val="0"/>
          <w:numId w:val="15"/>
        </w:numPr>
        <w:tabs>
          <w:tab w:val="clear" w:pos="426"/>
        </w:tabs>
        <w:spacing w:before="120" w:after="0"/>
        <w:ind w:left="993" w:hanging="284"/>
        <w:rPr>
          <w:rFonts w:cs="Arial"/>
        </w:rPr>
      </w:pPr>
      <w:r w:rsidRPr="00D72854">
        <w:rPr>
          <w:rFonts w:cs="Arial"/>
        </w:rPr>
        <w:t>revised HRA delivery proposals</w:t>
      </w:r>
      <w:r>
        <w:rPr>
          <w:rFonts w:cs="Arial"/>
        </w:rPr>
        <w:t xml:space="preserve"> - </w:t>
      </w:r>
      <w:r w:rsidRPr="00D72854">
        <w:rPr>
          <w:rFonts w:cs="Arial"/>
        </w:rPr>
        <w:t xml:space="preserve">commissioning and </w:t>
      </w:r>
      <w:proofErr w:type="spellStart"/>
      <w:r w:rsidRPr="00D72854">
        <w:rPr>
          <w:rFonts w:cs="Arial"/>
        </w:rPr>
        <w:t>clienting</w:t>
      </w:r>
      <w:proofErr w:type="spellEnd"/>
      <w:r w:rsidRPr="00D72854">
        <w:rPr>
          <w:rFonts w:cs="Arial"/>
        </w:rPr>
        <w:t xml:space="preserve"> arrangements</w:t>
      </w:r>
      <w:r>
        <w:rPr>
          <w:rFonts w:cs="Arial"/>
        </w:rPr>
        <w:t xml:space="preserve">, including </w:t>
      </w:r>
      <w:r w:rsidRPr="003001E3">
        <w:rPr>
          <w:rFonts w:cs="Arial"/>
        </w:rPr>
        <w:t xml:space="preserve">finance client management to support delivery of </w:t>
      </w:r>
      <w:r w:rsidR="006744B3" w:rsidRPr="003001E3">
        <w:rPr>
          <w:rFonts w:cs="Arial"/>
        </w:rPr>
        <w:t>efficiencies</w:t>
      </w:r>
      <w:r w:rsidRPr="003001E3">
        <w:rPr>
          <w:rFonts w:cs="Arial"/>
        </w:rPr>
        <w:t xml:space="preserve"> targets and </w:t>
      </w:r>
      <w:proofErr w:type="gramStart"/>
      <w:r w:rsidRPr="003001E3">
        <w:rPr>
          <w:rFonts w:cs="Arial"/>
        </w:rPr>
        <w:t>VFM</w:t>
      </w:r>
      <w:r>
        <w:rPr>
          <w:rFonts w:cs="Arial"/>
        </w:rPr>
        <w:t>;</w:t>
      </w:r>
      <w:proofErr w:type="gramEnd"/>
    </w:p>
    <w:p w14:paraId="595002E2" w14:textId="77777777" w:rsidR="0002046A" w:rsidRPr="00D72854" w:rsidRDefault="0002046A" w:rsidP="0002046A">
      <w:pPr>
        <w:pStyle w:val="ListParagraph"/>
        <w:numPr>
          <w:ilvl w:val="0"/>
          <w:numId w:val="14"/>
        </w:numPr>
        <w:tabs>
          <w:tab w:val="clear" w:pos="426"/>
        </w:tabs>
        <w:spacing w:before="120" w:after="0"/>
        <w:ind w:left="993" w:hanging="284"/>
        <w:rPr>
          <w:rFonts w:cs="Arial"/>
        </w:rPr>
      </w:pPr>
      <w:r w:rsidRPr="00D72854">
        <w:rPr>
          <w:rFonts w:cs="Arial"/>
        </w:rPr>
        <w:t>reshaping the tenancy management functions</w:t>
      </w:r>
      <w:r>
        <w:rPr>
          <w:rFonts w:cs="Arial"/>
        </w:rPr>
        <w:t xml:space="preserve"> for </w:t>
      </w:r>
      <w:r w:rsidRPr="00D72854">
        <w:rPr>
          <w:rFonts w:cs="Arial"/>
        </w:rPr>
        <w:t>effective management of the services with tenants fully engaged</w:t>
      </w:r>
      <w:r>
        <w:rPr>
          <w:rFonts w:cs="Arial"/>
        </w:rPr>
        <w:t>; and</w:t>
      </w:r>
    </w:p>
    <w:p w14:paraId="6D8B8B44" w14:textId="4C7C1224" w:rsidR="0002046A" w:rsidRDefault="0002046A" w:rsidP="0002046A">
      <w:pPr>
        <w:pStyle w:val="ListParagraph"/>
        <w:numPr>
          <w:ilvl w:val="0"/>
          <w:numId w:val="14"/>
        </w:numPr>
        <w:tabs>
          <w:tab w:val="clear" w:pos="426"/>
        </w:tabs>
        <w:spacing w:before="120" w:after="0"/>
        <w:ind w:left="993" w:hanging="284"/>
        <w:rPr>
          <w:rFonts w:cs="Arial"/>
        </w:rPr>
      </w:pPr>
      <w:r w:rsidRPr="00D72854">
        <w:rPr>
          <w:rFonts w:cs="Arial"/>
        </w:rPr>
        <w:t xml:space="preserve">preparation of OX Place business cases and plans for future options – </w:t>
      </w:r>
      <w:r>
        <w:rPr>
          <w:rFonts w:cs="Arial"/>
        </w:rPr>
        <w:t xml:space="preserve">including </w:t>
      </w:r>
      <w:r w:rsidRPr="00D72854">
        <w:rPr>
          <w:rFonts w:cs="Arial"/>
        </w:rPr>
        <w:t>PRS</w:t>
      </w:r>
      <w:r>
        <w:rPr>
          <w:rFonts w:cs="Arial"/>
        </w:rPr>
        <w:t>, RSL</w:t>
      </w:r>
      <w:r w:rsidRPr="00D72854">
        <w:rPr>
          <w:rFonts w:cs="Arial"/>
        </w:rPr>
        <w:t xml:space="preserve"> and </w:t>
      </w:r>
      <w:r w:rsidR="006744B3" w:rsidRPr="00D72854">
        <w:rPr>
          <w:rFonts w:cs="Arial"/>
        </w:rPr>
        <w:t>modest</w:t>
      </w:r>
      <w:r>
        <w:rPr>
          <w:rFonts w:cs="Arial"/>
        </w:rPr>
        <w:t xml:space="preserve"> additional homes projec</w:t>
      </w:r>
      <w:r w:rsidRPr="0002670B">
        <w:rPr>
          <w:rFonts w:cs="Arial"/>
        </w:rPr>
        <w:t>ts</w:t>
      </w:r>
      <w:r>
        <w:rPr>
          <w:rFonts w:cs="Arial"/>
        </w:rPr>
        <w:t>.</w:t>
      </w:r>
    </w:p>
    <w:p w14:paraId="1D6A9083" w14:textId="77777777" w:rsidR="0002046A" w:rsidRPr="00547BCA" w:rsidRDefault="0002046A" w:rsidP="00547BCA">
      <w:pPr>
        <w:ind w:left="360" w:hanging="360"/>
        <w:rPr>
          <w:rFonts w:cs="Arial"/>
        </w:rPr>
      </w:pPr>
    </w:p>
    <w:p w14:paraId="1C36BF25" w14:textId="61378012" w:rsidR="0002046A" w:rsidRDefault="0002046A" w:rsidP="0002046A">
      <w:pPr>
        <w:pStyle w:val="ListParagraph"/>
        <w:numPr>
          <w:ilvl w:val="1"/>
          <w:numId w:val="6"/>
        </w:numPr>
        <w:tabs>
          <w:tab w:val="clear" w:pos="426"/>
        </w:tabs>
        <w:spacing w:after="0"/>
        <w:ind w:left="567" w:hanging="567"/>
        <w:rPr>
          <w:rFonts w:cs="Arial"/>
        </w:rPr>
      </w:pPr>
      <w:r>
        <w:rPr>
          <w:rFonts w:cs="Arial"/>
        </w:rPr>
        <w:t xml:space="preserve">In addition to the work above, the following </w:t>
      </w:r>
      <w:r w:rsidR="001E6B7C">
        <w:rPr>
          <w:rFonts w:cs="Arial"/>
        </w:rPr>
        <w:t xml:space="preserve">should </w:t>
      </w:r>
      <w:r>
        <w:rPr>
          <w:rFonts w:cs="Arial"/>
        </w:rPr>
        <w:t>also be carried out</w:t>
      </w:r>
      <w:r w:rsidR="001E6B7C">
        <w:rPr>
          <w:rFonts w:cs="Arial"/>
        </w:rPr>
        <w:t xml:space="preserve"> to present the full range of choices</w:t>
      </w:r>
      <w:r>
        <w:rPr>
          <w:rFonts w:cs="Arial"/>
        </w:rPr>
        <w:t xml:space="preserve">:   </w:t>
      </w:r>
    </w:p>
    <w:p w14:paraId="7B4FA1D7" w14:textId="0206645E" w:rsidR="0002046A" w:rsidRDefault="0002046A" w:rsidP="0002046A">
      <w:pPr>
        <w:pStyle w:val="ListParagraph"/>
        <w:numPr>
          <w:ilvl w:val="0"/>
          <w:numId w:val="15"/>
        </w:numPr>
        <w:tabs>
          <w:tab w:val="clear" w:pos="426"/>
        </w:tabs>
        <w:spacing w:before="120" w:after="0"/>
        <w:ind w:left="993" w:hanging="284"/>
        <w:rPr>
          <w:rFonts w:cs="Arial"/>
        </w:rPr>
      </w:pPr>
      <w:r>
        <w:rPr>
          <w:rFonts w:cs="Arial"/>
        </w:rPr>
        <w:t>affordable housing programme</w:t>
      </w:r>
      <w:r w:rsidRPr="00DD67C3">
        <w:rPr>
          <w:rFonts w:cs="Arial"/>
        </w:rPr>
        <w:t xml:space="preserve"> </w:t>
      </w:r>
      <w:r>
        <w:rPr>
          <w:rFonts w:cs="Arial"/>
        </w:rPr>
        <w:t>from 2031, in particular, opportunit</w:t>
      </w:r>
      <w:r w:rsidR="001E6B7C">
        <w:rPr>
          <w:rFonts w:cs="Arial"/>
        </w:rPr>
        <w:t>ies</w:t>
      </w:r>
      <w:r>
        <w:rPr>
          <w:rFonts w:cs="Arial"/>
        </w:rPr>
        <w:t xml:space="preserve"> for small to medium scale projects; and</w:t>
      </w:r>
    </w:p>
    <w:p w14:paraId="3900A62C" w14:textId="21DA6A2B" w:rsidR="0002046A" w:rsidRDefault="0002046A" w:rsidP="0002046A">
      <w:pPr>
        <w:pStyle w:val="ListParagraph"/>
        <w:numPr>
          <w:ilvl w:val="0"/>
          <w:numId w:val="15"/>
        </w:numPr>
        <w:tabs>
          <w:tab w:val="clear" w:pos="426"/>
        </w:tabs>
        <w:spacing w:before="120" w:after="0"/>
        <w:ind w:left="993" w:hanging="284"/>
        <w:rPr>
          <w:rFonts w:cs="Arial"/>
        </w:rPr>
      </w:pPr>
      <w:r>
        <w:rPr>
          <w:rFonts w:cs="Arial"/>
        </w:rPr>
        <w:t xml:space="preserve">decarbonisation delivery programmes </w:t>
      </w:r>
      <w:r w:rsidR="001E6B7C">
        <w:rPr>
          <w:rFonts w:cs="Arial"/>
        </w:rPr>
        <w:t xml:space="preserve">from </w:t>
      </w:r>
      <w:r>
        <w:rPr>
          <w:rFonts w:cs="Arial"/>
        </w:rPr>
        <w:t>203</w:t>
      </w:r>
      <w:r w:rsidR="001E6B7C">
        <w:rPr>
          <w:rFonts w:cs="Arial"/>
        </w:rPr>
        <w:t xml:space="preserve">1 to </w:t>
      </w:r>
      <w:r>
        <w:rPr>
          <w:rFonts w:cs="Arial"/>
        </w:rPr>
        <w:t>2040.</w:t>
      </w:r>
    </w:p>
    <w:p w14:paraId="4DE0E090" w14:textId="77777777" w:rsidR="00B30DED" w:rsidRPr="00D47942" w:rsidRDefault="00B30DED" w:rsidP="00B30DED">
      <w:pPr>
        <w:rPr>
          <w:rFonts w:cs="Arial"/>
        </w:rPr>
      </w:pPr>
    </w:p>
    <w:p w14:paraId="4713D6B1" w14:textId="77777777" w:rsidR="00B30DED" w:rsidRDefault="00B30DED" w:rsidP="007C4142">
      <w:pPr>
        <w:pStyle w:val="ListParagraph"/>
        <w:numPr>
          <w:ilvl w:val="0"/>
          <w:numId w:val="0"/>
        </w:numPr>
        <w:spacing w:after="0"/>
        <w:ind w:left="567"/>
        <w:rPr>
          <w:rFonts w:cs="Arial"/>
          <w:b/>
          <w:bCs/>
        </w:rPr>
      </w:pPr>
      <w:r w:rsidRPr="00DE21E6">
        <w:rPr>
          <w:rFonts w:cs="Arial"/>
          <w:b/>
          <w:bCs/>
        </w:rPr>
        <w:t xml:space="preserve">Governance </w:t>
      </w:r>
    </w:p>
    <w:p w14:paraId="0A888DE1" w14:textId="77777777" w:rsidR="007C4142" w:rsidRPr="00547BCA" w:rsidRDefault="007C4142" w:rsidP="007C4142">
      <w:pPr>
        <w:pStyle w:val="ListParagraph"/>
        <w:numPr>
          <w:ilvl w:val="0"/>
          <w:numId w:val="0"/>
        </w:numPr>
        <w:spacing w:after="0"/>
        <w:ind w:left="567"/>
        <w:rPr>
          <w:rFonts w:cs="Arial"/>
          <w:b/>
          <w:bCs/>
        </w:rPr>
      </w:pPr>
    </w:p>
    <w:p w14:paraId="5F203118" w14:textId="62593B86" w:rsidR="00B30DED" w:rsidRPr="00B30DED" w:rsidRDefault="00B30DED" w:rsidP="00B30DED">
      <w:pPr>
        <w:pStyle w:val="ListParagraph"/>
        <w:numPr>
          <w:ilvl w:val="1"/>
          <w:numId w:val="6"/>
        </w:numPr>
        <w:tabs>
          <w:tab w:val="clear" w:pos="426"/>
        </w:tabs>
        <w:spacing w:after="0"/>
        <w:ind w:left="567" w:hanging="567"/>
        <w:rPr>
          <w:rFonts w:cs="Arial"/>
        </w:rPr>
      </w:pPr>
      <w:r w:rsidRPr="00A20F2A">
        <w:rPr>
          <w:rFonts w:cs="Arial"/>
        </w:rPr>
        <w:t xml:space="preserve">The HRA Business Plan does not propose </w:t>
      </w:r>
      <w:r>
        <w:rPr>
          <w:rFonts w:cs="Arial"/>
        </w:rPr>
        <w:t>new</w:t>
      </w:r>
      <w:r w:rsidRPr="00A20F2A">
        <w:rPr>
          <w:rFonts w:cs="Arial"/>
        </w:rPr>
        <w:t xml:space="preserve"> governance for approving HRA budgets, or the capital maintenance or development programmes.  It </w:t>
      </w:r>
      <w:r>
        <w:rPr>
          <w:rFonts w:cs="Arial"/>
        </w:rPr>
        <w:t xml:space="preserve">is </w:t>
      </w:r>
      <w:r w:rsidRPr="00A20F2A">
        <w:rPr>
          <w:rFonts w:cs="Arial"/>
        </w:rPr>
        <w:t xml:space="preserve">a working document that </w:t>
      </w:r>
      <w:r>
        <w:rPr>
          <w:rFonts w:cs="Arial"/>
        </w:rPr>
        <w:t xml:space="preserve">provides a framework for </w:t>
      </w:r>
      <w:r w:rsidRPr="00A20F2A">
        <w:rPr>
          <w:rFonts w:cs="Arial"/>
        </w:rPr>
        <w:t>inform</w:t>
      </w:r>
      <w:r>
        <w:rPr>
          <w:rFonts w:cs="Arial"/>
        </w:rPr>
        <w:t>ing the Council’s</w:t>
      </w:r>
      <w:r w:rsidRPr="00A20F2A">
        <w:rPr>
          <w:rFonts w:cs="Arial"/>
        </w:rPr>
        <w:t xml:space="preserve"> </w:t>
      </w:r>
      <w:r>
        <w:rPr>
          <w:rFonts w:cs="Arial"/>
        </w:rPr>
        <w:t xml:space="preserve">future decisions about HRA expenditure and housing services. The Plan is intended to be flexible to adjust to changes in its underlying </w:t>
      </w:r>
      <w:r w:rsidR="005D30A4">
        <w:rPr>
          <w:rFonts w:cs="Arial"/>
        </w:rPr>
        <w:t>assumptions and</w:t>
      </w:r>
      <w:r>
        <w:rPr>
          <w:rFonts w:cs="Arial"/>
        </w:rPr>
        <w:t xml:space="preserve"> should be reviewed and updated every year. </w:t>
      </w:r>
      <w:r w:rsidRPr="00F05FD3">
        <w:rPr>
          <w:rFonts w:cs="Arial"/>
        </w:rPr>
        <w:t xml:space="preserve"> </w:t>
      </w:r>
    </w:p>
    <w:p w14:paraId="71085C07" w14:textId="77777777" w:rsidR="00B30DED" w:rsidRDefault="00B30DED" w:rsidP="00B30DED">
      <w:pPr>
        <w:pStyle w:val="ListParagraph"/>
        <w:numPr>
          <w:ilvl w:val="0"/>
          <w:numId w:val="0"/>
        </w:numPr>
        <w:tabs>
          <w:tab w:val="clear" w:pos="426"/>
        </w:tabs>
        <w:spacing w:after="0"/>
        <w:ind w:left="567"/>
        <w:rPr>
          <w:rFonts w:cs="Arial"/>
        </w:rPr>
      </w:pPr>
    </w:p>
    <w:p w14:paraId="68BF717A" w14:textId="77777777" w:rsidR="00B30DED" w:rsidRPr="00547BCA" w:rsidRDefault="00B30DED" w:rsidP="007C4142">
      <w:pPr>
        <w:pStyle w:val="ListParagraph"/>
        <w:numPr>
          <w:ilvl w:val="0"/>
          <w:numId w:val="0"/>
        </w:numPr>
        <w:tabs>
          <w:tab w:val="clear" w:pos="426"/>
        </w:tabs>
        <w:spacing w:before="120" w:after="0"/>
        <w:ind w:left="567"/>
        <w:rPr>
          <w:rFonts w:cs="Arial"/>
          <w:b/>
        </w:rPr>
      </w:pPr>
      <w:r w:rsidRPr="00547BCA">
        <w:rPr>
          <w:rFonts w:cs="Arial"/>
          <w:b/>
        </w:rPr>
        <w:t xml:space="preserve">Value For Money </w:t>
      </w:r>
    </w:p>
    <w:p w14:paraId="137135C2" w14:textId="77777777" w:rsidR="00B30DED" w:rsidRPr="00547BCA" w:rsidRDefault="00B30DED" w:rsidP="007C4142">
      <w:pPr>
        <w:pStyle w:val="ListParagraph"/>
        <w:numPr>
          <w:ilvl w:val="0"/>
          <w:numId w:val="0"/>
        </w:numPr>
        <w:tabs>
          <w:tab w:val="clear" w:pos="426"/>
        </w:tabs>
        <w:spacing w:after="0"/>
        <w:ind w:left="567"/>
        <w:rPr>
          <w:rFonts w:cs="Arial"/>
        </w:rPr>
      </w:pPr>
    </w:p>
    <w:p w14:paraId="7927FE2F" w14:textId="71A769DF" w:rsidR="00B30DED" w:rsidRDefault="00B30DED" w:rsidP="00B30DED">
      <w:pPr>
        <w:pStyle w:val="ListParagraph"/>
        <w:numPr>
          <w:ilvl w:val="1"/>
          <w:numId w:val="6"/>
        </w:numPr>
        <w:tabs>
          <w:tab w:val="clear" w:pos="426"/>
        </w:tabs>
        <w:spacing w:after="0"/>
        <w:ind w:left="567" w:hanging="567"/>
        <w:rPr>
          <w:rFonts w:cs="Arial"/>
        </w:rPr>
      </w:pPr>
      <w:r w:rsidRPr="00547BCA">
        <w:rPr>
          <w:rFonts w:cs="Arial"/>
        </w:rPr>
        <w:t>Council partners who deliver work covered by the HRA business plan are subject to provid</w:t>
      </w:r>
      <w:r>
        <w:rPr>
          <w:rFonts w:cs="Arial"/>
        </w:rPr>
        <w:t>ing</w:t>
      </w:r>
      <w:r w:rsidRPr="00547BCA">
        <w:rPr>
          <w:rFonts w:cs="Arial"/>
        </w:rPr>
        <w:t xml:space="preserve"> value for money. The commissioning of the council's main partner for delivery of works to its housing stock, Oxford Direct Services Ltd (ODS), </w:t>
      </w:r>
      <w:r>
        <w:rPr>
          <w:rFonts w:cs="Arial"/>
        </w:rPr>
        <w:t xml:space="preserve">should </w:t>
      </w:r>
      <w:r w:rsidRPr="00547BCA">
        <w:rPr>
          <w:rFonts w:cs="Arial"/>
        </w:rPr>
        <w:t xml:space="preserve">require the submission of an annual business plan that demonstrates continued </w:t>
      </w:r>
      <w:r w:rsidRPr="00547BCA">
        <w:rPr>
          <w:rFonts w:cs="Arial"/>
        </w:rPr>
        <w:lastRenderedPageBreak/>
        <w:t xml:space="preserve">value for </w:t>
      </w:r>
      <w:r w:rsidR="00744888" w:rsidRPr="00547BCA">
        <w:rPr>
          <w:rFonts w:cs="Arial"/>
        </w:rPr>
        <w:t>money,</w:t>
      </w:r>
      <w:r w:rsidRPr="00547BCA">
        <w:rPr>
          <w:rFonts w:cs="Arial"/>
        </w:rPr>
        <w:t xml:space="preserve"> and this is verified on an ongoing basis as part of the </w:t>
      </w:r>
      <w:proofErr w:type="spellStart"/>
      <w:r w:rsidRPr="00547BCA">
        <w:rPr>
          <w:rFonts w:cs="Arial"/>
        </w:rPr>
        <w:t>clienting</w:t>
      </w:r>
      <w:proofErr w:type="spellEnd"/>
      <w:r w:rsidRPr="00547BCA">
        <w:rPr>
          <w:rFonts w:cs="Arial"/>
        </w:rPr>
        <w:t xml:space="preserve"> arrangements.  </w:t>
      </w:r>
    </w:p>
    <w:p w14:paraId="6AA28CDB" w14:textId="77777777" w:rsidR="0002046A" w:rsidRPr="00A20F2A" w:rsidRDefault="0002046A" w:rsidP="0002046A">
      <w:pPr>
        <w:rPr>
          <w:rFonts w:cs="Arial"/>
        </w:rPr>
      </w:pPr>
    </w:p>
    <w:p w14:paraId="79029F12" w14:textId="77777777" w:rsidR="0002046A" w:rsidRPr="00DE21E6" w:rsidRDefault="0002046A" w:rsidP="00547BCA">
      <w:pPr>
        <w:pStyle w:val="ListParagraph"/>
        <w:numPr>
          <w:ilvl w:val="0"/>
          <w:numId w:val="0"/>
        </w:numPr>
        <w:spacing w:after="0"/>
        <w:ind w:left="567"/>
        <w:rPr>
          <w:rFonts w:cs="Arial"/>
          <w:b/>
          <w:bCs/>
        </w:rPr>
      </w:pPr>
      <w:r>
        <w:rPr>
          <w:rFonts w:cs="Arial"/>
          <w:b/>
          <w:bCs/>
        </w:rPr>
        <w:t>C</w:t>
      </w:r>
      <w:r w:rsidRPr="00DE21E6">
        <w:rPr>
          <w:rFonts w:cs="Arial"/>
          <w:b/>
          <w:bCs/>
        </w:rPr>
        <w:t>onclusion</w:t>
      </w:r>
      <w:r>
        <w:rPr>
          <w:rFonts w:cs="Arial"/>
          <w:b/>
          <w:bCs/>
        </w:rPr>
        <w:t>s</w:t>
      </w:r>
    </w:p>
    <w:p w14:paraId="749D7CDB" w14:textId="77777777" w:rsidR="0002046A" w:rsidRPr="00D666CE" w:rsidRDefault="0002046A" w:rsidP="00547BCA">
      <w:pPr>
        <w:spacing w:after="0"/>
        <w:rPr>
          <w:rFonts w:cs="Arial"/>
        </w:rPr>
      </w:pPr>
    </w:p>
    <w:p w14:paraId="58CBDF8F" w14:textId="454A59F2" w:rsidR="0002046A" w:rsidRPr="00A17C92" w:rsidRDefault="0002046A" w:rsidP="00547BCA">
      <w:pPr>
        <w:pStyle w:val="ListParagraph"/>
        <w:numPr>
          <w:ilvl w:val="1"/>
          <w:numId w:val="6"/>
        </w:numPr>
        <w:tabs>
          <w:tab w:val="clear" w:pos="426"/>
        </w:tabs>
        <w:spacing w:after="0"/>
        <w:ind w:left="567" w:hanging="567"/>
        <w:rPr>
          <w:rFonts w:cs="Arial"/>
        </w:rPr>
      </w:pPr>
      <w:r>
        <w:rPr>
          <w:rFonts w:cs="Arial"/>
        </w:rPr>
        <w:t xml:space="preserve">The OCC HRA 40 Year Business Plan provides Council a context for framing its future investment </w:t>
      </w:r>
      <w:r w:rsidR="00744888">
        <w:rPr>
          <w:rFonts w:cs="Arial"/>
        </w:rPr>
        <w:t>decisions</w:t>
      </w:r>
      <w:r>
        <w:rPr>
          <w:rFonts w:cs="Arial"/>
        </w:rPr>
        <w:t xml:space="preserve"> for the HRA </w:t>
      </w:r>
      <w:r w:rsidR="00744888">
        <w:rPr>
          <w:rFonts w:cs="Arial"/>
        </w:rPr>
        <w:t>in</w:t>
      </w:r>
      <w:r>
        <w:rPr>
          <w:rFonts w:cs="Arial"/>
        </w:rPr>
        <w:t xml:space="preserve"> the long term. </w:t>
      </w:r>
    </w:p>
    <w:p w14:paraId="204C507C" w14:textId="77777777" w:rsidR="0002046A" w:rsidRDefault="0002046A" w:rsidP="00547BCA">
      <w:pPr>
        <w:pStyle w:val="ListParagraph"/>
        <w:numPr>
          <w:ilvl w:val="0"/>
          <w:numId w:val="0"/>
        </w:numPr>
        <w:spacing w:after="0"/>
        <w:ind w:left="567"/>
        <w:rPr>
          <w:rFonts w:cs="Arial"/>
        </w:rPr>
      </w:pPr>
    </w:p>
    <w:p w14:paraId="2AB86F3A" w14:textId="686F14E1" w:rsidR="0002046A" w:rsidRPr="008815B1" w:rsidRDefault="0002046A" w:rsidP="00D86777">
      <w:pPr>
        <w:pStyle w:val="ListParagraph"/>
        <w:numPr>
          <w:ilvl w:val="1"/>
          <w:numId w:val="6"/>
        </w:numPr>
        <w:tabs>
          <w:tab w:val="clear" w:pos="426"/>
        </w:tabs>
        <w:spacing w:after="0"/>
        <w:ind w:left="567" w:hanging="567"/>
        <w:rPr>
          <w:rFonts w:cs="Arial"/>
        </w:rPr>
      </w:pPr>
      <w:r w:rsidRPr="005E0A5C">
        <w:rPr>
          <w:rFonts w:cs="Arial"/>
        </w:rPr>
        <w:t>Th</w:t>
      </w:r>
      <w:r>
        <w:rPr>
          <w:rFonts w:cs="Arial"/>
        </w:rPr>
        <w:t>e</w:t>
      </w:r>
      <w:r w:rsidRPr="005E0A5C">
        <w:rPr>
          <w:rFonts w:cs="Arial"/>
        </w:rPr>
        <w:t xml:space="preserve"> </w:t>
      </w:r>
      <w:r w:rsidR="00031404">
        <w:rPr>
          <w:rFonts w:cs="Arial"/>
        </w:rPr>
        <w:t>Business Plan</w:t>
      </w:r>
      <w:r w:rsidRPr="005E0A5C">
        <w:rPr>
          <w:rFonts w:cs="Arial"/>
        </w:rPr>
        <w:t xml:space="preserve"> demonstrates that projected rental income </w:t>
      </w:r>
      <w:r w:rsidR="00340937">
        <w:rPr>
          <w:rFonts w:cs="Arial"/>
        </w:rPr>
        <w:t>should</w:t>
      </w:r>
      <w:r w:rsidRPr="005E0A5C">
        <w:rPr>
          <w:rFonts w:cs="Arial"/>
        </w:rPr>
        <w:t xml:space="preserve"> cover the </w:t>
      </w:r>
      <w:r w:rsidR="00340937">
        <w:rPr>
          <w:rFonts w:cs="Arial"/>
        </w:rPr>
        <w:t xml:space="preserve">Council’s </w:t>
      </w:r>
      <w:r w:rsidRPr="008815B1">
        <w:rPr>
          <w:rFonts w:cs="Arial"/>
        </w:rPr>
        <w:t xml:space="preserve">expenditure </w:t>
      </w:r>
      <w:r>
        <w:rPr>
          <w:rFonts w:cs="Arial"/>
        </w:rPr>
        <w:t xml:space="preserve">plans </w:t>
      </w:r>
      <w:r w:rsidRPr="008815B1">
        <w:rPr>
          <w:rFonts w:cs="Arial"/>
        </w:rPr>
        <w:t xml:space="preserve">on housing management, repairs and maintenance, and decarbonisation of </w:t>
      </w:r>
      <w:r>
        <w:rPr>
          <w:rFonts w:cs="Arial"/>
        </w:rPr>
        <w:t>the</w:t>
      </w:r>
      <w:r w:rsidRPr="008815B1">
        <w:rPr>
          <w:rFonts w:cs="Arial"/>
        </w:rPr>
        <w:t xml:space="preserve"> stock</w:t>
      </w:r>
      <w:r w:rsidR="00031404">
        <w:rPr>
          <w:rFonts w:cs="Arial"/>
        </w:rPr>
        <w:t xml:space="preserve"> to 2030</w:t>
      </w:r>
      <w:r w:rsidRPr="008815B1">
        <w:rPr>
          <w:rFonts w:cs="Arial"/>
        </w:rPr>
        <w:t>. There is also sufficient capacit</w:t>
      </w:r>
      <w:r>
        <w:rPr>
          <w:rFonts w:cs="Arial"/>
        </w:rPr>
        <w:t>y</w:t>
      </w:r>
      <w:r w:rsidRPr="008815B1">
        <w:rPr>
          <w:rFonts w:cs="Arial"/>
        </w:rPr>
        <w:t xml:space="preserve"> to fund its current commitments for </w:t>
      </w:r>
      <w:r w:rsidR="00031404">
        <w:rPr>
          <w:rFonts w:cs="Arial"/>
        </w:rPr>
        <w:t xml:space="preserve">building and acquiring </w:t>
      </w:r>
      <w:r w:rsidRPr="008815B1">
        <w:rPr>
          <w:rFonts w:cs="Arial"/>
        </w:rPr>
        <w:t xml:space="preserve">new homes, </w:t>
      </w:r>
    </w:p>
    <w:p w14:paraId="008FD72C" w14:textId="77777777" w:rsidR="0002046A" w:rsidRPr="009162B3" w:rsidRDefault="0002046A" w:rsidP="00D86777">
      <w:pPr>
        <w:spacing w:after="0"/>
        <w:ind w:left="567" w:hanging="567"/>
        <w:rPr>
          <w:rFonts w:cs="Arial"/>
        </w:rPr>
      </w:pPr>
    </w:p>
    <w:p w14:paraId="0570618B" w14:textId="0031374C" w:rsidR="00D86777" w:rsidRDefault="00031404" w:rsidP="00D86777">
      <w:pPr>
        <w:pStyle w:val="ListParagraph"/>
        <w:numPr>
          <w:ilvl w:val="1"/>
          <w:numId w:val="6"/>
        </w:numPr>
        <w:tabs>
          <w:tab w:val="clear" w:pos="426"/>
        </w:tabs>
        <w:spacing w:after="0"/>
        <w:ind w:left="567" w:hanging="567"/>
        <w:rPr>
          <w:rFonts w:cs="Arial"/>
        </w:rPr>
      </w:pPr>
      <w:r>
        <w:rPr>
          <w:rFonts w:cs="Arial"/>
        </w:rPr>
        <w:t>The Business Plan,</w:t>
      </w:r>
      <w:r w:rsidRPr="00595B14">
        <w:rPr>
          <w:rFonts w:cs="Arial"/>
        </w:rPr>
        <w:t xml:space="preserve"> </w:t>
      </w:r>
      <w:r>
        <w:rPr>
          <w:rFonts w:cs="Arial"/>
        </w:rPr>
        <w:t xml:space="preserve">therefore, presents a reasonably healthy HRA </w:t>
      </w:r>
      <w:r w:rsidRPr="00595B14">
        <w:rPr>
          <w:rFonts w:cs="Arial"/>
        </w:rPr>
        <w:t>over the perio</w:t>
      </w:r>
      <w:r>
        <w:rPr>
          <w:rFonts w:cs="Arial"/>
        </w:rPr>
        <w:t xml:space="preserve">d. </w:t>
      </w:r>
      <w:r w:rsidRPr="005E0A5C">
        <w:rPr>
          <w:rFonts w:cs="Arial"/>
        </w:rPr>
        <w:t>HRA debt reaches a maximum affordable level over the medium term</w:t>
      </w:r>
      <w:r>
        <w:rPr>
          <w:rFonts w:cs="Arial"/>
        </w:rPr>
        <w:t xml:space="preserve"> (to 2030) in</w:t>
      </w:r>
      <w:r w:rsidRPr="005E0A5C">
        <w:rPr>
          <w:rFonts w:cs="Arial"/>
        </w:rPr>
        <w:t xml:space="preserve"> all scenarios</w:t>
      </w:r>
      <w:r>
        <w:rPr>
          <w:rFonts w:cs="Arial"/>
        </w:rPr>
        <w:t xml:space="preserve"> - the </w:t>
      </w:r>
      <w:r w:rsidRPr="00595B14">
        <w:rPr>
          <w:rFonts w:cs="Arial"/>
        </w:rPr>
        <w:t xml:space="preserve">affordability </w:t>
      </w:r>
      <w:r>
        <w:rPr>
          <w:rFonts w:cs="Arial"/>
        </w:rPr>
        <w:t xml:space="preserve">of the baseline remains above </w:t>
      </w:r>
      <w:r w:rsidRPr="00595B14">
        <w:rPr>
          <w:rFonts w:cs="Arial"/>
        </w:rPr>
        <w:t>the guideline ICR</w:t>
      </w:r>
      <w:r>
        <w:rPr>
          <w:rFonts w:cs="Arial"/>
        </w:rPr>
        <w:t xml:space="preserve">, except for a short </w:t>
      </w:r>
      <w:r w:rsidR="00340937">
        <w:rPr>
          <w:rFonts w:cs="Arial"/>
        </w:rPr>
        <w:t>‘</w:t>
      </w:r>
      <w:r w:rsidRPr="00595B14">
        <w:rPr>
          <w:rFonts w:cs="Arial"/>
        </w:rPr>
        <w:t>borderline</w:t>
      </w:r>
      <w:r w:rsidR="00340937">
        <w:rPr>
          <w:rFonts w:cs="Arial"/>
        </w:rPr>
        <w:t>’</w:t>
      </w:r>
      <w:r w:rsidRPr="00595B14">
        <w:rPr>
          <w:rFonts w:cs="Arial"/>
        </w:rPr>
        <w:t xml:space="preserve"> period.</w:t>
      </w:r>
      <w:r>
        <w:rPr>
          <w:rFonts w:cs="Arial"/>
        </w:rPr>
        <w:t xml:space="preserve"> </w:t>
      </w:r>
      <w:r w:rsidR="0002046A" w:rsidRPr="005E0A5C">
        <w:rPr>
          <w:rFonts w:cs="Arial"/>
        </w:rPr>
        <w:t xml:space="preserve">Council </w:t>
      </w:r>
      <w:r w:rsidR="0002046A">
        <w:rPr>
          <w:rFonts w:cs="Arial"/>
        </w:rPr>
        <w:t xml:space="preserve">should therefore </w:t>
      </w:r>
      <w:r w:rsidR="0002046A" w:rsidRPr="005E0A5C">
        <w:rPr>
          <w:rFonts w:cs="Arial"/>
        </w:rPr>
        <w:t xml:space="preserve">refrain from additional </w:t>
      </w:r>
      <w:r w:rsidR="0002046A">
        <w:rPr>
          <w:rFonts w:cs="Arial"/>
        </w:rPr>
        <w:t xml:space="preserve">new </w:t>
      </w:r>
      <w:r w:rsidR="00340937">
        <w:rPr>
          <w:rFonts w:cs="Arial"/>
        </w:rPr>
        <w:t xml:space="preserve">HRA </w:t>
      </w:r>
      <w:r w:rsidR="0002046A" w:rsidRPr="005E0A5C">
        <w:rPr>
          <w:rFonts w:cs="Arial"/>
        </w:rPr>
        <w:t>investment</w:t>
      </w:r>
      <w:r w:rsidR="0002046A">
        <w:rPr>
          <w:rFonts w:cs="Arial"/>
        </w:rPr>
        <w:t xml:space="preserve">s, </w:t>
      </w:r>
      <w:r w:rsidR="0002046A" w:rsidRPr="005E0A5C">
        <w:rPr>
          <w:rFonts w:cs="Arial"/>
        </w:rPr>
        <w:t xml:space="preserve">until </w:t>
      </w:r>
      <w:r w:rsidR="0002046A">
        <w:rPr>
          <w:rFonts w:cs="Arial"/>
        </w:rPr>
        <w:t xml:space="preserve">after </w:t>
      </w:r>
      <w:r w:rsidR="0002046A" w:rsidRPr="005E0A5C">
        <w:rPr>
          <w:rFonts w:cs="Arial"/>
        </w:rPr>
        <w:t>203</w:t>
      </w:r>
      <w:r>
        <w:rPr>
          <w:rFonts w:cs="Arial"/>
        </w:rPr>
        <w:t>0</w:t>
      </w:r>
      <w:r w:rsidR="0002046A">
        <w:rPr>
          <w:rFonts w:cs="Arial"/>
        </w:rPr>
        <w:t xml:space="preserve">. </w:t>
      </w:r>
    </w:p>
    <w:p w14:paraId="435AB4A3" w14:textId="77777777" w:rsidR="00D86777" w:rsidRPr="00D86777" w:rsidRDefault="00D86777" w:rsidP="00D86777">
      <w:pPr>
        <w:pStyle w:val="ListParagraph"/>
        <w:numPr>
          <w:ilvl w:val="0"/>
          <w:numId w:val="0"/>
        </w:numPr>
        <w:spacing w:after="0"/>
        <w:ind w:left="360"/>
        <w:rPr>
          <w:rFonts w:cs="Arial"/>
        </w:rPr>
      </w:pPr>
    </w:p>
    <w:p w14:paraId="293E50F5" w14:textId="58145362" w:rsidR="0002046A" w:rsidRDefault="00D86777" w:rsidP="00D86777">
      <w:pPr>
        <w:pStyle w:val="ListParagraph"/>
        <w:numPr>
          <w:ilvl w:val="1"/>
          <w:numId w:val="6"/>
        </w:numPr>
        <w:tabs>
          <w:tab w:val="clear" w:pos="426"/>
        </w:tabs>
        <w:spacing w:after="0"/>
        <w:ind w:left="567" w:hanging="567"/>
        <w:rPr>
          <w:rFonts w:cs="Arial"/>
        </w:rPr>
      </w:pPr>
      <w:r>
        <w:rPr>
          <w:rFonts w:cs="Arial"/>
        </w:rPr>
        <w:t xml:space="preserve">By </w:t>
      </w:r>
      <w:r w:rsidR="0002046A" w:rsidRPr="005E0A5C">
        <w:rPr>
          <w:rFonts w:cs="Arial"/>
        </w:rPr>
        <w:t>implement</w:t>
      </w:r>
      <w:r>
        <w:rPr>
          <w:rFonts w:cs="Arial"/>
        </w:rPr>
        <w:t>ing</w:t>
      </w:r>
      <w:r w:rsidR="0002046A" w:rsidRPr="005E0A5C">
        <w:rPr>
          <w:rFonts w:cs="Arial"/>
        </w:rPr>
        <w:t xml:space="preserve"> </w:t>
      </w:r>
      <w:r w:rsidR="0002046A" w:rsidRPr="0009209D">
        <w:rPr>
          <w:rFonts w:cs="Arial"/>
        </w:rPr>
        <w:t>options</w:t>
      </w:r>
      <w:r w:rsidR="0002046A">
        <w:rPr>
          <w:rFonts w:cs="Arial"/>
        </w:rPr>
        <w:t xml:space="preserve"> </w:t>
      </w:r>
      <w:r>
        <w:rPr>
          <w:rFonts w:cs="Arial"/>
        </w:rPr>
        <w:t>proposed in this report</w:t>
      </w:r>
      <w:r w:rsidR="00340937">
        <w:rPr>
          <w:rFonts w:cs="Arial"/>
        </w:rPr>
        <w:t>,</w:t>
      </w:r>
      <w:r>
        <w:rPr>
          <w:rFonts w:cs="Arial"/>
        </w:rPr>
        <w:t xml:space="preserve"> coupled with the proposed extension to the </w:t>
      </w:r>
      <w:r w:rsidR="00340937">
        <w:rPr>
          <w:rFonts w:cs="Arial"/>
        </w:rPr>
        <w:t xml:space="preserve">national </w:t>
      </w:r>
      <w:r>
        <w:rPr>
          <w:rFonts w:cs="Arial"/>
        </w:rPr>
        <w:t xml:space="preserve">rent increase policy, </w:t>
      </w:r>
      <w:r w:rsidR="0002046A" w:rsidRPr="0009209D">
        <w:rPr>
          <w:rFonts w:cs="Arial"/>
        </w:rPr>
        <w:t xml:space="preserve">the affordability of the baseline </w:t>
      </w:r>
      <w:r>
        <w:rPr>
          <w:rFonts w:cs="Arial"/>
        </w:rPr>
        <w:t xml:space="preserve">can be significantly improved </w:t>
      </w:r>
      <w:r w:rsidR="0002046A" w:rsidRPr="0009209D">
        <w:rPr>
          <w:rFonts w:cs="Arial"/>
        </w:rPr>
        <w:t xml:space="preserve">and </w:t>
      </w:r>
      <w:r w:rsidR="00031404">
        <w:rPr>
          <w:rFonts w:cs="Arial"/>
        </w:rPr>
        <w:t xml:space="preserve">thereby </w:t>
      </w:r>
      <w:r w:rsidR="0002046A" w:rsidRPr="0009209D">
        <w:rPr>
          <w:rFonts w:cs="Arial"/>
        </w:rPr>
        <w:t xml:space="preserve">bring forward </w:t>
      </w:r>
      <w:r>
        <w:rPr>
          <w:rFonts w:cs="Arial"/>
        </w:rPr>
        <w:t xml:space="preserve">available </w:t>
      </w:r>
      <w:r w:rsidR="0002046A" w:rsidRPr="0009209D">
        <w:rPr>
          <w:rFonts w:cs="Arial"/>
        </w:rPr>
        <w:t>investment headroom</w:t>
      </w:r>
      <w:r>
        <w:rPr>
          <w:rFonts w:cs="Arial"/>
        </w:rPr>
        <w:t xml:space="preserve"> providing for </w:t>
      </w:r>
      <w:r w:rsidR="00C20F48">
        <w:rPr>
          <w:rFonts w:cs="Arial"/>
        </w:rPr>
        <w:t xml:space="preserve">up to </w:t>
      </w:r>
      <w:r>
        <w:rPr>
          <w:rFonts w:cs="Arial"/>
        </w:rPr>
        <w:t>£</w:t>
      </w:r>
      <w:r w:rsidR="00AF6925">
        <w:rPr>
          <w:rFonts w:cs="Arial"/>
        </w:rPr>
        <w:t>70</w:t>
      </w:r>
      <w:r>
        <w:rPr>
          <w:rFonts w:cs="Arial"/>
        </w:rPr>
        <w:t>0m of borrowing between 2030 to 2040</w:t>
      </w:r>
      <w:r w:rsidR="0002046A" w:rsidRPr="0009209D">
        <w:rPr>
          <w:rFonts w:cs="Arial"/>
        </w:rPr>
        <w:t>.</w:t>
      </w:r>
      <w:r w:rsidR="0002046A" w:rsidRPr="004A6DFA">
        <w:rPr>
          <w:rFonts w:cs="Arial"/>
        </w:rPr>
        <w:t xml:space="preserve">  </w:t>
      </w:r>
    </w:p>
    <w:p w14:paraId="56B493A8" w14:textId="77777777" w:rsidR="0002046A" w:rsidRDefault="0002046A" w:rsidP="00D86777">
      <w:pPr>
        <w:pStyle w:val="ListParagraph"/>
        <w:numPr>
          <w:ilvl w:val="0"/>
          <w:numId w:val="0"/>
        </w:numPr>
        <w:spacing w:after="0"/>
        <w:ind w:left="567"/>
        <w:rPr>
          <w:rFonts w:cs="Arial"/>
        </w:rPr>
      </w:pPr>
    </w:p>
    <w:p w14:paraId="2EDEBDD3" w14:textId="3D168FC9" w:rsidR="0002046A" w:rsidRPr="00510281" w:rsidRDefault="0002046A" w:rsidP="00D86777">
      <w:pPr>
        <w:pStyle w:val="ListParagraph"/>
        <w:numPr>
          <w:ilvl w:val="1"/>
          <w:numId w:val="6"/>
        </w:numPr>
        <w:tabs>
          <w:tab w:val="clear" w:pos="426"/>
        </w:tabs>
        <w:spacing w:after="0"/>
        <w:ind w:left="567" w:hanging="567"/>
        <w:rPr>
          <w:rFonts w:cs="Arial"/>
        </w:rPr>
      </w:pPr>
      <w:r>
        <w:rPr>
          <w:rFonts w:cs="Arial"/>
        </w:rPr>
        <w:t xml:space="preserve">Council should make an early start in determining its investment priorities for future HRA investment beyond </w:t>
      </w:r>
      <w:r w:rsidR="00340937">
        <w:rPr>
          <w:rFonts w:cs="Arial"/>
        </w:rPr>
        <w:t>2030/31.</w:t>
      </w:r>
    </w:p>
    <w:p w14:paraId="299555C2" w14:textId="77777777" w:rsidR="00B30DED" w:rsidRDefault="00B30DED" w:rsidP="00B30DED">
      <w:pPr>
        <w:pStyle w:val="ListParagraph"/>
        <w:numPr>
          <w:ilvl w:val="0"/>
          <w:numId w:val="0"/>
        </w:numPr>
        <w:tabs>
          <w:tab w:val="clear" w:pos="426"/>
        </w:tabs>
        <w:spacing w:before="120" w:after="0"/>
        <w:ind w:left="567"/>
        <w:rPr>
          <w:rFonts w:cs="Arial"/>
        </w:rPr>
      </w:pPr>
    </w:p>
    <w:p w14:paraId="1D237CEF" w14:textId="77777777" w:rsidR="00B30DED" w:rsidRPr="00510281" w:rsidRDefault="00B30DED" w:rsidP="00B30DED">
      <w:pPr>
        <w:pStyle w:val="ListParagraph"/>
        <w:numPr>
          <w:ilvl w:val="0"/>
          <w:numId w:val="0"/>
        </w:numPr>
        <w:tabs>
          <w:tab w:val="clear" w:pos="426"/>
        </w:tabs>
        <w:spacing w:after="0"/>
        <w:ind w:left="567"/>
        <w:rPr>
          <w:rFonts w:cs="Arial"/>
        </w:rPr>
      </w:pPr>
      <w:r w:rsidRPr="00510281">
        <w:rPr>
          <w:rFonts w:cs="Arial"/>
          <w:b/>
          <w:bCs/>
        </w:rPr>
        <w:t>Financial implications</w:t>
      </w:r>
    </w:p>
    <w:p w14:paraId="7E184ABF" w14:textId="77777777" w:rsidR="00B30DED" w:rsidRDefault="00B30DED" w:rsidP="00B30DED">
      <w:pPr>
        <w:pStyle w:val="ListParagraph"/>
        <w:numPr>
          <w:ilvl w:val="0"/>
          <w:numId w:val="0"/>
        </w:numPr>
        <w:tabs>
          <w:tab w:val="clear" w:pos="426"/>
        </w:tabs>
        <w:spacing w:after="0"/>
        <w:ind w:left="567"/>
        <w:rPr>
          <w:rFonts w:cs="Arial"/>
        </w:rPr>
      </w:pPr>
    </w:p>
    <w:p w14:paraId="51154CD5" w14:textId="77777777" w:rsidR="00850A47" w:rsidRDefault="00735959" w:rsidP="0002046A">
      <w:pPr>
        <w:pStyle w:val="ListParagraph"/>
        <w:numPr>
          <w:ilvl w:val="1"/>
          <w:numId w:val="6"/>
        </w:numPr>
        <w:tabs>
          <w:tab w:val="clear" w:pos="426"/>
        </w:tabs>
        <w:spacing w:after="0"/>
        <w:ind w:left="567" w:hanging="567"/>
        <w:rPr>
          <w:rFonts w:cs="Arial"/>
        </w:rPr>
      </w:pPr>
      <w:r>
        <w:rPr>
          <w:rFonts w:cs="Arial"/>
        </w:rPr>
        <w:t xml:space="preserve">The financial implications of this report are </w:t>
      </w:r>
      <w:r w:rsidR="00507BEF">
        <w:rPr>
          <w:rFonts w:cs="Arial"/>
        </w:rPr>
        <w:t>includ</w:t>
      </w:r>
      <w:r>
        <w:rPr>
          <w:rFonts w:cs="Arial"/>
        </w:rPr>
        <w:t>ed above</w:t>
      </w:r>
      <w:r w:rsidR="007A3A01">
        <w:rPr>
          <w:rFonts w:cs="Arial"/>
        </w:rPr>
        <w:t xml:space="preserve">. The HRA 40-year business plan </w:t>
      </w:r>
      <w:r w:rsidR="000B36AE">
        <w:rPr>
          <w:rFonts w:cs="Arial"/>
        </w:rPr>
        <w:t>shows that the HRA is viable and affordable</w:t>
      </w:r>
      <w:r w:rsidR="007F6409">
        <w:rPr>
          <w:rFonts w:cs="Arial"/>
        </w:rPr>
        <w:t>.</w:t>
      </w:r>
    </w:p>
    <w:p w14:paraId="399954D1" w14:textId="77777777" w:rsidR="00DF246D" w:rsidRDefault="00DF246D" w:rsidP="00DF246D">
      <w:pPr>
        <w:pStyle w:val="ListParagraph"/>
        <w:numPr>
          <w:ilvl w:val="0"/>
          <w:numId w:val="0"/>
        </w:numPr>
        <w:tabs>
          <w:tab w:val="clear" w:pos="426"/>
        </w:tabs>
        <w:spacing w:after="0"/>
        <w:ind w:left="567"/>
        <w:rPr>
          <w:rFonts w:cs="Arial"/>
        </w:rPr>
      </w:pPr>
    </w:p>
    <w:p w14:paraId="33E7A543" w14:textId="07DC0A35" w:rsidR="00B30DED" w:rsidRDefault="007F6409" w:rsidP="0002046A">
      <w:pPr>
        <w:pStyle w:val="ListParagraph"/>
        <w:numPr>
          <w:ilvl w:val="1"/>
          <w:numId w:val="6"/>
        </w:numPr>
        <w:tabs>
          <w:tab w:val="clear" w:pos="426"/>
        </w:tabs>
        <w:spacing w:after="0"/>
        <w:ind w:left="567" w:hanging="567"/>
        <w:rPr>
          <w:rFonts w:cs="Arial"/>
        </w:rPr>
      </w:pPr>
      <w:r>
        <w:rPr>
          <w:rFonts w:cs="Arial"/>
        </w:rPr>
        <w:t>T</w:t>
      </w:r>
      <w:r w:rsidR="000B36AE">
        <w:rPr>
          <w:rFonts w:cs="Arial"/>
        </w:rPr>
        <w:t xml:space="preserve">his report </w:t>
      </w:r>
      <w:r w:rsidR="006517F6">
        <w:rPr>
          <w:rFonts w:cs="Arial"/>
        </w:rPr>
        <w:t>shows the</w:t>
      </w:r>
      <w:r w:rsidR="000B36AE">
        <w:rPr>
          <w:rFonts w:cs="Arial"/>
        </w:rPr>
        <w:t xml:space="preserve"> </w:t>
      </w:r>
      <w:r w:rsidR="006517F6">
        <w:rPr>
          <w:rFonts w:cs="Arial"/>
        </w:rPr>
        <w:t>options available to further improve the HRA</w:t>
      </w:r>
      <w:r w:rsidR="009C09EA">
        <w:rPr>
          <w:rFonts w:cs="Arial"/>
        </w:rPr>
        <w:t>’s</w:t>
      </w:r>
      <w:r w:rsidR="006517F6">
        <w:rPr>
          <w:rFonts w:cs="Arial"/>
        </w:rPr>
        <w:t xml:space="preserve"> </w:t>
      </w:r>
      <w:r w:rsidR="006C7ECA">
        <w:rPr>
          <w:rFonts w:cs="Arial"/>
        </w:rPr>
        <w:t>financial position</w:t>
      </w:r>
      <w:r w:rsidR="009C09EA">
        <w:rPr>
          <w:rFonts w:cs="Arial"/>
        </w:rPr>
        <w:t xml:space="preserve"> over the shorter term</w:t>
      </w:r>
      <w:r w:rsidR="006C7ECA">
        <w:rPr>
          <w:rFonts w:cs="Arial"/>
        </w:rPr>
        <w:t xml:space="preserve"> </w:t>
      </w:r>
      <w:r w:rsidR="001C5E8B">
        <w:rPr>
          <w:rFonts w:cs="Arial"/>
        </w:rPr>
        <w:t>resulting in an</w:t>
      </w:r>
      <w:r w:rsidR="006C7ECA">
        <w:rPr>
          <w:rFonts w:cs="Arial"/>
        </w:rPr>
        <w:t xml:space="preserve"> </w:t>
      </w:r>
      <w:r w:rsidR="00540C9F">
        <w:rPr>
          <w:rFonts w:cs="Arial"/>
        </w:rPr>
        <w:t>increase</w:t>
      </w:r>
      <w:r w:rsidR="00700929">
        <w:rPr>
          <w:rFonts w:cs="Arial"/>
        </w:rPr>
        <w:t xml:space="preserve"> to</w:t>
      </w:r>
      <w:r w:rsidR="00540C9F">
        <w:rPr>
          <w:rFonts w:cs="Arial"/>
        </w:rPr>
        <w:t xml:space="preserve"> </w:t>
      </w:r>
      <w:r w:rsidR="006C7ECA">
        <w:rPr>
          <w:rFonts w:cs="Arial"/>
        </w:rPr>
        <w:t>the borrowing capacity.</w:t>
      </w:r>
      <w:r w:rsidR="006517F6">
        <w:rPr>
          <w:rFonts w:cs="Arial"/>
        </w:rPr>
        <w:t xml:space="preserve"> </w:t>
      </w:r>
    </w:p>
    <w:p w14:paraId="1EBD14E0" w14:textId="77777777" w:rsidR="00DF246D" w:rsidRPr="00DF246D" w:rsidRDefault="00DF246D" w:rsidP="00DF246D">
      <w:pPr>
        <w:spacing w:after="0"/>
        <w:rPr>
          <w:rFonts w:cs="Arial"/>
        </w:rPr>
      </w:pPr>
    </w:p>
    <w:p w14:paraId="40828D36" w14:textId="77777777" w:rsidR="00B21523" w:rsidRPr="00B21523" w:rsidRDefault="00B21523" w:rsidP="00B21523">
      <w:pPr>
        <w:pStyle w:val="ListParagraph"/>
        <w:numPr>
          <w:ilvl w:val="1"/>
          <w:numId w:val="6"/>
        </w:numPr>
        <w:rPr>
          <w:rFonts w:cs="Arial"/>
        </w:rPr>
      </w:pPr>
      <w:r w:rsidRPr="00B21523">
        <w:rPr>
          <w:rFonts w:cs="Arial"/>
        </w:rPr>
        <w:t xml:space="preserve">There may be indirect financial consequences to consider, such as implications for the generation of surpluses generated by ODS as a result of this new process. Careful consideration should be taken, and the impacts fully evaluated. </w:t>
      </w:r>
    </w:p>
    <w:p w14:paraId="06E8B525" w14:textId="77777777" w:rsidR="00B30DED" w:rsidRDefault="00B30DED" w:rsidP="00B30DED">
      <w:pPr>
        <w:pStyle w:val="ListParagraph"/>
        <w:numPr>
          <w:ilvl w:val="0"/>
          <w:numId w:val="0"/>
        </w:numPr>
        <w:tabs>
          <w:tab w:val="clear" w:pos="426"/>
        </w:tabs>
        <w:spacing w:after="0"/>
        <w:ind w:left="567"/>
        <w:rPr>
          <w:rFonts w:cs="Arial"/>
        </w:rPr>
      </w:pPr>
    </w:p>
    <w:p w14:paraId="4114191F" w14:textId="77777777" w:rsidR="00B30DED" w:rsidRPr="00510281" w:rsidRDefault="00B30DED" w:rsidP="00B30DED">
      <w:pPr>
        <w:pStyle w:val="ListParagraph"/>
        <w:numPr>
          <w:ilvl w:val="0"/>
          <w:numId w:val="0"/>
        </w:numPr>
        <w:tabs>
          <w:tab w:val="clear" w:pos="426"/>
        </w:tabs>
        <w:spacing w:after="0"/>
        <w:ind w:left="567"/>
        <w:rPr>
          <w:rFonts w:cs="Arial"/>
        </w:rPr>
      </w:pPr>
      <w:r w:rsidRPr="00510281">
        <w:rPr>
          <w:rFonts w:cs="Arial"/>
          <w:b/>
          <w:bCs/>
        </w:rPr>
        <w:t>Legal issues</w:t>
      </w:r>
    </w:p>
    <w:p w14:paraId="6C196381" w14:textId="77777777" w:rsidR="00B30DED" w:rsidRDefault="00B30DED" w:rsidP="00B30DED">
      <w:pPr>
        <w:pStyle w:val="ListParagraph"/>
        <w:numPr>
          <w:ilvl w:val="0"/>
          <w:numId w:val="0"/>
        </w:numPr>
        <w:tabs>
          <w:tab w:val="clear" w:pos="426"/>
        </w:tabs>
        <w:spacing w:after="0"/>
        <w:ind w:left="567"/>
        <w:rPr>
          <w:rFonts w:cs="Arial"/>
        </w:rPr>
      </w:pPr>
    </w:p>
    <w:p w14:paraId="11BDA37C" w14:textId="39E161B9" w:rsidR="002819FB" w:rsidRDefault="002819FB" w:rsidP="002819FB">
      <w:pPr>
        <w:pStyle w:val="ListParagraph"/>
        <w:numPr>
          <w:ilvl w:val="1"/>
          <w:numId w:val="6"/>
        </w:numPr>
        <w:tabs>
          <w:tab w:val="clear" w:pos="426"/>
        </w:tabs>
        <w:spacing w:after="0"/>
        <w:ind w:left="567" w:hanging="567"/>
        <w:rPr>
          <w:rFonts w:cs="Arial"/>
        </w:rPr>
      </w:pPr>
      <w:r>
        <w:rPr>
          <w:rFonts w:cs="Arial"/>
        </w:rPr>
        <w:t>The Local Government and Housing Act 1989 (“the 1989 Act”) contains the statutory requirements regarding the keeping of a Housing Revenue Account (HRA). This includes a duty under section 76 of the 1989 Act to budget to prevent a debit balance on the HRA and to implement and review the budget. The 1989 Act places a duty on local housing authorities to: (</w:t>
      </w:r>
      <w:proofErr w:type="spellStart"/>
      <w:r>
        <w:rPr>
          <w:rFonts w:cs="Arial"/>
        </w:rPr>
        <w:t>i</w:t>
      </w:r>
      <w:proofErr w:type="spellEnd"/>
      <w:r>
        <w:rPr>
          <w:rFonts w:cs="Arial"/>
        </w:rPr>
        <w:t xml:space="preserve">) produce and make available for public inspection, an annual budget for their HRA, which avoids a deficit; (ii) </w:t>
      </w:r>
      <w:r>
        <w:rPr>
          <w:rFonts w:cs="Arial"/>
        </w:rPr>
        <w:lastRenderedPageBreak/>
        <w:t>review and if necessary, revise that budget from time to time; and (iii) take all reasonably practical steps to avoid an end of year</w:t>
      </w:r>
      <w:r w:rsidR="00DF246D">
        <w:rPr>
          <w:rFonts w:cs="Arial"/>
        </w:rPr>
        <w:t>.</w:t>
      </w:r>
    </w:p>
    <w:p w14:paraId="356F3FAD" w14:textId="77777777" w:rsidR="00DF246D" w:rsidRDefault="00DF246D" w:rsidP="00DF246D">
      <w:pPr>
        <w:pStyle w:val="ListParagraph"/>
        <w:numPr>
          <w:ilvl w:val="0"/>
          <w:numId w:val="0"/>
        </w:numPr>
        <w:tabs>
          <w:tab w:val="clear" w:pos="426"/>
        </w:tabs>
        <w:spacing w:after="0"/>
        <w:ind w:left="567"/>
        <w:rPr>
          <w:rFonts w:cs="Arial"/>
        </w:rPr>
      </w:pPr>
    </w:p>
    <w:p w14:paraId="33357735" w14:textId="77777777" w:rsidR="002819FB" w:rsidRDefault="002819FB" w:rsidP="00DF246D">
      <w:pPr>
        <w:pStyle w:val="ListParagraph"/>
        <w:numPr>
          <w:ilvl w:val="1"/>
          <w:numId w:val="6"/>
        </w:numPr>
        <w:tabs>
          <w:tab w:val="clear" w:pos="426"/>
        </w:tabs>
        <w:spacing w:after="0"/>
        <w:ind w:left="567" w:hanging="567"/>
        <w:rPr>
          <w:rFonts w:cs="Arial"/>
        </w:rPr>
      </w:pPr>
      <w:r>
        <w:rPr>
          <w:rFonts w:cs="Arial"/>
        </w:rPr>
        <w:t xml:space="preserve">The guidance published by the MHCLG on the operation of the HRA ring fence highlights the need to be fair to both tenants and council taxpayers and that there should be a fair and transparent apportionment of costs between the HRA and General Fund. </w:t>
      </w:r>
    </w:p>
    <w:p w14:paraId="50DB7257" w14:textId="77777777" w:rsidR="00DF246D" w:rsidRPr="00DF246D" w:rsidRDefault="00DF246D" w:rsidP="00DF246D">
      <w:pPr>
        <w:pStyle w:val="ListParagraph"/>
        <w:numPr>
          <w:ilvl w:val="0"/>
          <w:numId w:val="0"/>
        </w:numPr>
        <w:spacing w:after="0"/>
        <w:ind w:left="360"/>
        <w:rPr>
          <w:rFonts w:cs="Arial"/>
        </w:rPr>
      </w:pPr>
    </w:p>
    <w:p w14:paraId="252AF7B5" w14:textId="77777777" w:rsidR="002819FB" w:rsidRDefault="002819FB" w:rsidP="00DF246D">
      <w:pPr>
        <w:pStyle w:val="ListParagraph"/>
        <w:numPr>
          <w:ilvl w:val="1"/>
          <w:numId w:val="6"/>
        </w:numPr>
        <w:tabs>
          <w:tab w:val="clear" w:pos="426"/>
        </w:tabs>
        <w:spacing w:after="0"/>
        <w:ind w:left="567" w:hanging="567"/>
        <w:rPr>
          <w:rFonts w:cs="Arial"/>
        </w:rPr>
      </w:pPr>
      <w:r>
        <w:rPr>
          <w:rFonts w:cs="Arial"/>
        </w:rPr>
        <w:t xml:space="preserve">Sections 167 to 175 of the Localism Act 2011 (“the 2011 Act”) introduced a new system of Council housing finance which ended the current Housing Revenue subsidy system in England and replaced it with self-financing arrangements. Section 171 of the 2011 Act empowered the Secretary of State to make provision relating to the level of indebtedness in relation to local housing authorities in England which keep </w:t>
      </w:r>
      <w:proofErr w:type="gramStart"/>
      <w:r>
        <w:rPr>
          <w:rFonts w:cs="Arial"/>
        </w:rPr>
        <w:t>a</w:t>
      </w:r>
      <w:proofErr w:type="gramEnd"/>
      <w:r>
        <w:rPr>
          <w:rFonts w:cs="Arial"/>
        </w:rPr>
        <w:t xml:space="preserve"> HRA. </w:t>
      </w:r>
    </w:p>
    <w:p w14:paraId="48A4C4E4" w14:textId="77777777" w:rsidR="00DF246D" w:rsidRPr="00DF246D" w:rsidRDefault="00DF246D" w:rsidP="00DF246D">
      <w:pPr>
        <w:pStyle w:val="ListParagraph"/>
        <w:numPr>
          <w:ilvl w:val="0"/>
          <w:numId w:val="0"/>
        </w:numPr>
        <w:spacing w:after="0"/>
        <w:ind w:left="360"/>
        <w:rPr>
          <w:rFonts w:cs="Arial"/>
        </w:rPr>
      </w:pPr>
    </w:p>
    <w:p w14:paraId="7C6DB138" w14:textId="77777777" w:rsidR="002819FB" w:rsidRDefault="002819FB" w:rsidP="00DF246D">
      <w:pPr>
        <w:pStyle w:val="ListParagraph"/>
        <w:numPr>
          <w:ilvl w:val="1"/>
          <w:numId w:val="6"/>
        </w:numPr>
        <w:tabs>
          <w:tab w:val="clear" w:pos="426"/>
        </w:tabs>
        <w:spacing w:after="0"/>
        <w:ind w:left="567" w:hanging="567"/>
        <w:rPr>
          <w:rFonts w:cs="Arial"/>
        </w:rPr>
      </w:pPr>
      <w:r>
        <w:rPr>
          <w:rFonts w:cs="Arial"/>
        </w:rPr>
        <w:t xml:space="preserve">Local authorities with an HRA are no longer constrained by government controls over borrowing for housebuilding and are able to borrow against their expected rental income, in line with the Prudential Code.   </w:t>
      </w:r>
    </w:p>
    <w:p w14:paraId="674C96C7" w14:textId="77777777" w:rsidR="00DF246D" w:rsidRPr="00DF246D" w:rsidRDefault="00DF246D" w:rsidP="00DF246D">
      <w:pPr>
        <w:pStyle w:val="ListParagraph"/>
        <w:numPr>
          <w:ilvl w:val="0"/>
          <w:numId w:val="0"/>
        </w:numPr>
        <w:spacing w:after="0"/>
        <w:ind w:left="357"/>
        <w:rPr>
          <w:rFonts w:cs="Arial"/>
        </w:rPr>
      </w:pPr>
    </w:p>
    <w:p w14:paraId="6FD380A7" w14:textId="6B4ECA9E" w:rsidR="00232645" w:rsidRDefault="00232645" w:rsidP="00DF246D">
      <w:pPr>
        <w:pStyle w:val="ListParagraph"/>
        <w:numPr>
          <w:ilvl w:val="1"/>
          <w:numId w:val="6"/>
        </w:numPr>
        <w:tabs>
          <w:tab w:val="clear" w:pos="426"/>
        </w:tabs>
        <w:spacing w:after="0"/>
        <w:ind w:left="567" w:hanging="567"/>
        <w:rPr>
          <w:rFonts w:cs="Arial"/>
        </w:rPr>
      </w:pPr>
      <w:r>
        <w:rPr>
          <w:rFonts w:cs="Arial"/>
        </w:rPr>
        <w:t xml:space="preserve">In relation to the Council’s public sector equality duty, where the setting of the capital, revenue and HRS budget result in new policies or policy change, the Council should carry out an equality impact assessment to secure delivery of that duty, including such consultation as may be required. </w:t>
      </w:r>
    </w:p>
    <w:p w14:paraId="39E8E631" w14:textId="3AD78184" w:rsidR="00B30DED" w:rsidRPr="002819FB" w:rsidRDefault="00B30DED" w:rsidP="00DF246D">
      <w:pPr>
        <w:spacing w:after="0"/>
        <w:rPr>
          <w:rFonts w:cs="Arial"/>
        </w:rPr>
      </w:pPr>
    </w:p>
    <w:p w14:paraId="270F1207" w14:textId="77777777" w:rsidR="00B30DED" w:rsidRPr="00B30DED" w:rsidRDefault="00B30DED" w:rsidP="00B30DED">
      <w:pPr>
        <w:spacing w:after="0"/>
        <w:rPr>
          <w:rFonts w:cs="Arial"/>
          <w:b/>
        </w:rPr>
      </w:pPr>
    </w:p>
    <w:p w14:paraId="6EEB4914" w14:textId="78A6837C" w:rsidR="00510281" w:rsidRPr="00510281" w:rsidRDefault="0002046A" w:rsidP="00510281">
      <w:pPr>
        <w:pStyle w:val="ListParagraph"/>
        <w:numPr>
          <w:ilvl w:val="0"/>
          <w:numId w:val="0"/>
        </w:numPr>
        <w:tabs>
          <w:tab w:val="clear" w:pos="426"/>
        </w:tabs>
        <w:spacing w:after="0"/>
        <w:ind w:left="567"/>
        <w:rPr>
          <w:rFonts w:cs="Arial"/>
        </w:rPr>
      </w:pPr>
      <w:r w:rsidRPr="00510281">
        <w:rPr>
          <w:rFonts w:cs="Arial"/>
          <w:b/>
        </w:rPr>
        <w:t xml:space="preserve">Equalities, Human Rights and Community Cohesion </w:t>
      </w:r>
    </w:p>
    <w:p w14:paraId="0DACB7EB" w14:textId="77777777" w:rsidR="00510281" w:rsidRPr="00510281" w:rsidRDefault="00510281" w:rsidP="00510281">
      <w:pPr>
        <w:pStyle w:val="ListParagraph"/>
        <w:numPr>
          <w:ilvl w:val="0"/>
          <w:numId w:val="0"/>
        </w:numPr>
        <w:tabs>
          <w:tab w:val="clear" w:pos="426"/>
        </w:tabs>
        <w:spacing w:after="0"/>
        <w:ind w:left="567"/>
        <w:rPr>
          <w:rFonts w:cs="Arial"/>
        </w:rPr>
      </w:pPr>
    </w:p>
    <w:p w14:paraId="2D1EDFED" w14:textId="77777777" w:rsidR="00DF246D" w:rsidRDefault="0002046A" w:rsidP="00DF246D">
      <w:pPr>
        <w:pStyle w:val="ListParagraph"/>
        <w:numPr>
          <w:ilvl w:val="1"/>
          <w:numId w:val="6"/>
        </w:numPr>
        <w:tabs>
          <w:tab w:val="clear" w:pos="426"/>
        </w:tabs>
        <w:spacing w:after="0"/>
        <w:ind w:left="567" w:hanging="567"/>
        <w:rPr>
          <w:rFonts w:cs="Arial"/>
        </w:rPr>
      </w:pPr>
      <w:r w:rsidRPr="00510281">
        <w:rPr>
          <w:rFonts w:cs="Arial"/>
        </w:rPr>
        <w:t>In implementing the recommendations of this report, the council will have due regard to its obligations under the Equalit</w:t>
      </w:r>
      <w:r w:rsidR="002819FB">
        <w:rPr>
          <w:rFonts w:cs="Arial"/>
        </w:rPr>
        <w:t>y</w:t>
      </w:r>
      <w:r w:rsidRPr="00510281">
        <w:rPr>
          <w:rFonts w:cs="Arial"/>
        </w:rPr>
        <w:t xml:space="preserve"> Act 2010, the Human Rights Act 1998 and other relevant legislation. The management and upkeep of council housing and construction of new homes are not expected to impact on equalities, human </w:t>
      </w:r>
      <w:proofErr w:type="gramStart"/>
      <w:r w:rsidRPr="00510281">
        <w:rPr>
          <w:rFonts w:cs="Arial"/>
        </w:rPr>
        <w:t>rights</w:t>
      </w:r>
      <w:proofErr w:type="gramEnd"/>
      <w:r w:rsidRPr="00510281">
        <w:rPr>
          <w:rFonts w:cs="Arial"/>
        </w:rPr>
        <w:t xml:space="preserve"> or community cohesion. Individual residents and protected groups will continue to be treated in line with </w:t>
      </w:r>
      <w:r w:rsidR="001E6B7C">
        <w:rPr>
          <w:rFonts w:cs="Arial"/>
        </w:rPr>
        <w:t>OCC’s</w:t>
      </w:r>
      <w:r w:rsidRPr="00510281">
        <w:rPr>
          <w:rFonts w:cs="Arial"/>
        </w:rPr>
        <w:t xml:space="preserve"> Housing polic</w:t>
      </w:r>
      <w:r w:rsidR="001E6B7C">
        <w:rPr>
          <w:rFonts w:cs="Arial"/>
        </w:rPr>
        <w:t>ies</w:t>
      </w:r>
      <w:r w:rsidRPr="00510281">
        <w:rPr>
          <w:rFonts w:cs="Arial"/>
        </w:rPr>
        <w:t xml:space="preserve"> and procedures, which are assessed for their effect against these criteria. </w:t>
      </w:r>
    </w:p>
    <w:p w14:paraId="43006265" w14:textId="77777777" w:rsidR="00DF246D" w:rsidRDefault="00DF246D" w:rsidP="00DF246D">
      <w:pPr>
        <w:pStyle w:val="ListParagraph"/>
        <w:numPr>
          <w:ilvl w:val="0"/>
          <w:numId w:val="0"/>
        </w:numPr>
        <w:tabs>
          <w:tab w:val="clear" w:pos="426"/>
        </w:tabs>
        <w:spacing w:after="0"/>
        <w:ind w:left="567"/>
        <w:rPr>
          <w:rFonts w:cs="Arial"/>
        </w:rPr>
      </w:pPr>
    </w:p>
    <w:p w14:paraId="2F937DA0" w14:textId="148164B0" w:rsidR="00C258E0" w:rsidRPr="00DF246D" w:rsidRDefault="00C258E0" w:rsidP="00DF246D">
      <w:pPr>
        <w:pStyle w:val="ListParagraph"/>
        <w:numPr>
          <w:ilvl w:val="1"/>
          <w:numId w:val="6"/>
        </w:numPr>
        <w:tabs>
          <w:tab w:val="clear" w:pos="426"/>
        </w:tabs>
        <w:spacing w:after="0"/>
        <w:ind w:left="567" w:hanging="567"/>
        <w:rPr>
          <w:rFonts w:cs="Arial"/>
        </w:rPr>
      </w:pPr>
      <w:r w:rsidRPr="00DF246D">
        <w:rPr>
          <w:rFonts w:eastAsiaTheme="minorHAnsi" w:cs="Arial"/>
          <w:color w:val="auto"/>
          <w:kern w:val="2"/>
          <w:lang w:eastAsia="en-US"/>
          <w14:ligatures w14:val="standardContextual"/>
        </w:rPr>
        <w:t>The Public Sector Equality Duty (PSED) under section 149 of the Equality Act 2010 requires the Council, when exercising its functions, to have due regard to:</w:t>
      </w:r>
    </w:p>
    <w:p w14:paraId="6EB8AFE2" w14:textId="15A9E4FF" w:rsidR="00C258E0" w:rsidRPr="00DF246D" w:rsidRDefault="00C258E0" w:rsidP="00DF246D">
      <w:pPr>
        <w:ind w:left="720"/>
        <w:contextualSpacing/>
        <w:rPr>
          <w:rFonts w:eastAsiaTheme="minorHAnsi" w:cs="Arial"/>
          <w:color w:val="auto"/>
          <w:kern w:val="2"/>
          <w:lang w:eastAsia="en-US"/>
          <w14:ligatures w14:val="standardContextual"/>
        </w:rPr>
      </w:pPr>
      <w:r w:rsidRPr="00DF246D">
        <w:rPr>
          <w:rFonts w:eastAsiaTheme="minorHAnsi" w:cs="Arial"/>
          <w:color w:val="auto"/>
          <w:kern w:val="2"/>
          <w:lang w:eastAsia="en-US"/>
          <w14:ligatures w14:val="standardContextual"/>
        </w:rPr>
        <w:t>(</w:t>
      </w:r>
      <w:proofErr w:type="spellStart"/>
      <w:r w:rsidRPr="00DF246D">
        <w:rPr>
          <w:rFonts w:eastAsiaTheme="minorHAnsi" w:cs="Arial"/>
          <w:color w:val="auto"/>
          <w:kern w:val="2"/>
          <w:lang w:eastAsia="en-US"/>
          <w14:ligatures w14:val="standardContextual"/>
        </w:rPr>
        <w:t>i</w:t>
      </w:r>
      <w:proofErr w:type="spellEnd"/>
      <w:r w:rsidRPr="00DF246D">
        <w:rPr>
          <w:rFonts w:eastAsiaTheme="minorHAnsi" w:cs="Arial"/>
          <w:color w:val="auto"/>
          <w:kern w:val="2"/>
          <w:lang w:eastAsia="en-US"/>
          <w14:ligatures w14:val="standardContextual"/>
        </w:rPr>
        <w:t xml:space="preserve">) the need to eliminate discrimination, harassment, victimisation, and any other conduct that is prohibited by or under the Equality Act </w:t>
      </w:r>
      <w:proofErr w:type="gramStart"/>
      <w:r w:rsidRPr="00DF246D">
        <w:rPr>
          <w:rFonts w:eastAsiaTheme="minorHAnsi" w:cs="Arial"/>
          <w:color w:val="auto"/>
          <w:kern w:val="2"/>
          <w:lang w:eastAsia="en-US"/>
          <w14:ligatures w14:val="standardContextual"/>
        </w:rPr>
        <w:t>2010;</w:t>
      </w:r>
      <w:proofErr w:type="gramEnd"/>
    </w:p>
    <w:p w14:paraId="3E40720E" w14:textId="2FF1F8BB" w:rsidR="00C258E0" w:rsidRDefault="00C258E0" w:rsidP="00DF246D">
      <w:pPr>
        <w:pStyle w:val="ListParagraph"/>
        <w:numPr>
          <w:ilvl w:val="0"/>
          <w:numId w:val="0"/>
        </w:numPr>
        <w:ind w:left="72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(ii) the need to advance equality of opportunity between persons who share protected characteristics and those who do not: and</w:t>
      </w:r>
    </w:p>
    <w:p w14:paraId="49644DCA" w14:textId="5DA1BA6D" w:rsidR="00C258E0" w:rsidRDefault="00C258E0" w:rsidP="00DF246D">
      <w:pPr>
        <w:pStyle w:val="ListParagraph"/>
        <w:numPr>
          <w:ilvl w:val="0"/>
          <w:numId w:val="0"/>
        </w:numPr>
        <w:ind w:left="720"/>
        <w:contextualSpacing/>
        <w:rPr>
          <w:rFonts w:eastAsiaTheme="minorHAnsi" w:cs="Arial"/>
          <w:color w:val="auto"/>
          <w:kern w:val="2"/>
          <w:lang w:eastAsia="en-US"/>
          <w14:ligatures w14:val="standardContextual"/>
        </w:rPr>
      </w:pPr>
      <w:r>
        <w:rPr>
          <w:rFonts w:eastAsiaTheme="minorHAnsi" w:cs="Arial"/>
          <w:color w:val="auto"/>
          <w:kern w:val="2"/>
          <w:lang w:eastAsia="en-US"/>
          <w14:ligatures w14:val="standardContextual"/>
        </w:rPr>
        <w:t xml:space="preserve">(iii) foster good relations between those who have protected characteristics and those who do not.  </w:t>
      </w:r>
    </w:p>
    <w:p w14:paraId="3C2A9DC9" w14:textId="77777777" w:rsidR="00C258E0" w:rsidRDefault="00C258E0" w:rsidP="00DF246D">
      <w:pPr>
        <w:pStyle w:val="ListParagraph"/>
        <w:numPr>
          <w:ilvl w:val="0"/>
          <w:numId w:val="0"/>
        </w:numPr>
        <w:tabs>
          <w:tab w:val="clear" w:pos="426"/>
        </w:tabs>
        <w:spacing w:after="0"/>
        <w:ind w:left="567"/>
        <w:rPr>
          <w:rFonts w:cs="Arial"/>
        </w:rPr>
      </w:pPr>
    </w:p>
    <w:p w14:paraId="5232E845" w14:textId="77777777" w:rsidR="00510281" w:rsidRDefault="00510281" w:rsidP="00510281">
      <w:pPr>
        <w:spacing w:after="0"/>
        <w:rPr>
          <w:rFonts w:cs="Arial"/>
        </w:rPr>
      </w:pPr>
    </w:p>
    <w:p w14:paraId="1C9FE68A" w14:textId="77777777" w:rsidR="00510281" w:rsidRPr="00510281" w:rsidRDefault="00510281" w:rsidP="00510281">
      <w:pPr>
        <w:spacing w:after="0"/>
        <w:rPr>
          <w:rFonts w:cs="Arial"/>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0B9442E5"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716C9967"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6E45ECA4" w14:textId="18C8EE5B" w:rsidR="00E87F7A" w:rsidRPr="001356F1" w:rsidRDefault="00AB1C04" w:rsidP="00A46E98">
            <w:r>
              <w:t>Peter Matthew</w:t>
            </w:r>
          </w:p>
        </w:tc>
      </w:tr>
      <w:tr w:rsidR="00DF093E" w:rsidRPr="001356F1" w14:paraId="473F9185"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51D713A5"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43199395" w14:textId="34DC4FA7" w:rsidR="00E87F7A" w:rsidRPr="001356F1" w:rsidRDefault="00AB1C04" w:rsidP="00A46E98">
            <w:r>
              <w:t>Executive Director</w:t>
            </w:r>
            <w:r w:rsidR="006859D7">
              <w:t xml:space="preserve"> </w:t>
            </w:r>
            <w:r>
              <w:t>(Interim)</w:t>
            </w:r>
          </w:p>
        </w:tc>
      </w:tr>
      <w:tr w:rsidR="00DF093E" w:rsidRPr="001356F1" w14:paraId="377E7B31" w14:textId="77777777" w:rsidTr="00A46E98">
        <w:trPr>
          <w:cantSplit/>
          <w:trHeight w:val="396"/>
        </w:trPr>
        <w:tc>
          <w:tcPr>
            <w:tcW w:w="3969" w:type="dxa"/>
            <w:tcBorders>
              <w:top w:val="nil"/>
              <w:left w:val="single" w:sz="8" w:space="0" w:color="000000"/>
              <w:bottom w:val="nil"/>
              <w:right w:val="nil"/>
            </w:tcBorders>
            <w:shd w:val="clear" w:color="auto" w:fill="auto"/>
          </w:tcPr>
          <w:p w14:paraId="6CBE85B6" w14:textId="77777777" w:rsidR="00E87F7A" w:rsidRPr="001356F1" w:rsidRDefault="00E87F7A" w:rsidP="00A46E98">
            <w:r w:rsidRPr="001356F1">
              <w:lastRenderedPageBreak/>
              <w:t>Service area or department</w:t>
            </w:r>
          </w:p>
        </w:tc>
        <w:tc>
          <w:tcPr>
            <w:tcW w:w="4962" w:type="dxa"/>
            <w:tcBorders>
              <w:top w:val="nil"/>
              <w:left w:val="nil"/>
              <w:bottom w:val="nil"/>
              <w:right w:val="single" w:sz="8" w:space="0" w:color="000000"/>
            </w:tcBorders>
            <w:shd w:val="clear" w:color="auto" w:fill="auto"/>
          </w:tcPr>
          <w:p w14:paraId="641C949F" w14:textId="618A3B04" w:rsidR="00E87F7A" w:rsidRPr="001356F1" w:rsidRDefault="00AB1C04" w:rsidP="00A46E98">
            <w:r>
              <w:t>Communities and People</w:t>
            </w:r>
            <w:r w:rsidR="006859D7">
              <w:t xml:space="preserve"> </w:t>
            </w:r>
          </w:p>
        </w:tc>
      </w:tr>
      <w:tr w:rsidR="00DF093E" w:rsidRPr="001356F1" w14:paraId="347BDD90" w14:textId="77777777" w:rsidTr="00A46E98">
        <w:trPr>
          <w:cantSplit/>
          <w:trHeight w:val="396"/>
        </w:trPr>
        <w:tc>
          <w:tcPr>
            <w:tcW w:w="3969" w:type="dxa"/>
            <w:tcBorders>
              <w:top w:val="nil"/>
              <w:left w:val="single" w:sz="8" w:space="0" w:color="000000"/>
              <w:bottom w:val="nil"/>
              <w:right w:val="nil"/>
            </w:tcBorders>
            <w:shd w:val="clear" w:color="auto" w:fill="auto"/>
          </w:tcPr>
          <w:p w14:paraId="0A48E211" w14:textId="77777777"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14:paraId="291562CB" w14:textId="0743BEEF" w:rsidR="00E87F7A" w:rsidRPr="007C4142" w:rsidRDefault="007C4142" w:rsidP="007C4142">
            <w:pPr>
              <w:spacing w:after="0"/>
              <w:rPr>
                <w:rFonts w:cs="Arial"/>
                <w:color w:val="auto"/>
              </w:rPr>
            </w:pPr>
            <w:r w:rsidRPr="007C4142">
              <w:rPr>
                <w:rFonts w:cs="Arial"/>
              </w:rPr>
              <w:t xml:space="preserve">01865 529324 </w:t>
            </w:r>
          </w:p>
        </w:tc>
      </w:tr>
      <w:tr w:rsidR="005570B5" w:rsidRPr="001356F1" w14:paraId="1ADB540F"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0EEFB2A9"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1CA5AC9A" w14:textId="7DA190EC" w:rsidR="00E87F7A" w:rsidRPr="001356F1" w:rsidRDefault="00A13A20" w:rsidP="00A46E98">
            <w:pPr>
              <w:rPr>
                <w:rStyle w:val="Hyperlink"/>
                <w:color w:val="000000"/>
              </w:rPr>
            </w:pPr>
            <w:hyperlink r:id="rId11" w:history="1">
              <w:r w:rsidR="00AB1C04" w:rsidRPr="001D4173">
                <w:rPr>
                  <w:rStyle w:val="Hyperlink"/>
                </w:rPr>
                <w:t>pmatthew@oxford.gov.uk</w:t>
              </w:r>
            </w:hyperlink>
            <w:r w:rsidR="003040F5">
              <w:rPr>
                <w:rStyle w:val="Hyperlink"/>
                <w:color w:val="000000"/>
              </w:rPr>
              <w:t xml:space="preserve"> </w:t>
            </w:r>
          </w:p>
        </w:tc>
      </w:tr>
    </w:tbl>
    <w:p w14:paraId="6B347B32"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275379CD" w14:textId="77777777" w:rsidTr="002F0D09">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57670C66" w14:textId="399266CC" w:rsidR="0093067A" w:rsidRPr="001356F1" w:rsidRDefault="00182B81" w:rsidP="00F41AC1">
            <w:r w:rsidRPr="001356F1">
              <w:rPr>
                <w:rStyle w:val="Firstpagetablebold"/>
              </w:rPr>
              <w:t xml:space="preserve">Background Papers: </w:t>
            </w:r>
          </w:p>
        </w:tc>
      </w:tr>
      <w:tr w:rsidR="002F0D09" w:rsidRPr="00A46E98" w14:paraId="5B94FD0A" w14:textId="77777777" w:rsidTr="002F0D09">
        <w:tc>
          <w:tcPr>
            <w:tcW w:w="567" w:type="dxa"/>
            <w:tcBorders>
              <w:top w:val="single" w:sz="8" w:space="0" w:color="000000"/>
              <w:left w:val="single" w:sz="8" w:space="0" w:color="000000"/>
              <w:bottom w:val="nil"/>
              <w:right w:val="nil"/>
            </w:tcBorders>
            <w:shd w:val="clear" w:color="auto" w:fill="auto"/>
          </w:tcPr>
          <w:p w14:paraId="123BCE96" w14:textId="7DBC4038" w:rsidR="002F0D09" w:rsidRDefault="002F0D09" w:rsidP="00531540">
            <w:r>
              <w:t>1</w:t>
            </w:r>
          </w:p>
        </w:tc>
        <w:tc>
          <w:tcPr>
            <w:tcW w:w="8364" w:type="dxa"/>
            <w:tcBorders>
              <w:top w:val="single" w:sz="8" w:space="0" w:color="000000"/>
              <w:left w:val="nil"/>
              <w:bottom w:val="nil"/>
              <w:right w:val="single" w:sz="8" w:space="0" w:color="000000"/>
            </w:tcBorders>
          </w:tcPr>
          <w:p w14:paraId="1B71108F" w14:textId="4E16D42A" w:rsidR="002F0D09" w:rsidRDefault="00FE6EF3" w:rsidP="00531540">
            <w:r>
              <w:t>Housing Revenue Account 40-Year Business Plan</w:t>
            </w:r>
          </w:p>
        </w:tc>
      </w:tr>
      <w:tr w:rsidR="00603A99" w:rsidRPr="00A46E98" w14:paraId="6321101A" w14:textId="77777777" w:rsidTr="002F0D09">
        <w:tc>
          <w:tcPr>
            <w:tcW w:w="567" w:type="dxa"/>
            <w:tcBorders>
              <w:top w:val="nil"/>
              <w:left w:val="single" w:sz="8" w:space="0" w:color="000000"/>
              <w:bottom w:val="single" w:sz="8" w:space="0" w:color="000000"/>
              <w:right w:val="nil"/>
            </w:tcBorders>
            <w:shd w:val="clear" w:color="auto" w:fill="auto"/>
          </w:tcPr>
          <w:p w14:paraId="7D156E82" w14:textId="1C607D45" w:rsidR="00603A99" w:rsidRPr="00A46E98" w:rsidRDefault="00603A99" w:rsidP="00531540">
            <w:r>
              <w:t>2</w:t>
            </w:r>
          </w:p>
        </w:tc>
        <w:tc>
          <w:tcPr>
            <w:tcW w:w="8364" w:type="dxa"/>
            <w:tcBorders>
              <w:top w:val="nil"/>
              <w:left w:val="nil"/>
              <w:bottom w:val="single" w:sz="8" w:space="0" w:color="000000"/>
              <w:right w:val="single" w:sz="8" w:space="0" w:color="000000"/>
            </w:tcBorders>
          </w:tcPr>
          <w:p w14:paraId="3A3D7793" w14:textId="3EC002EC" w:rsidR="00603A99" w:rsidRPr="00A46E98" w:rsidRDefault="00FE6EF3" w:rsidP="00531540">
            <w:r>
              <w:t>Addendum report to the HRA 40-Year Business Plan</w:t>
            </w:r>
          </w:p>
        </w:tc>
      </w:tr>
    </w:tbl>
    <w:p w14:paraId="1C7015A8" w14:textId="77777777" w:rsidR="00CE4C87" w:rsidRDefault="00CE4C87" w:rsidP="0093067A"/>
    <w:p w14:paraId="12FB7CCA" w14:textId="77777777" w:rsidR="0054712D" w:rsidRPr="0054712D" w:rsidRDefault="0054712D" w:rsidP="00C85B4E">
      <w:pPr>
        <w:rPr>
          <w:b/>
        </w:rPr>
      </w:pPr>
      <w:r w:rsidRPr="0054712D">
        <w:rPr>
          <w:b/>
        </w:rPr>
        <w:t xml:space="preserve">Please note in the table </w:t>
      </w:r>
      <w:r w:rsidR="00C85B4E">
        <w:rPr>
          <w:b/>
        </w:rPr>
        <w:t xml:space="preserve">below </w:t>
      </w:r>
      <w:r w:rsidRPr="0054712D">
        <w:rPr>
          <w:b/>
        </w:rPr>
        <w:t xml:space="preserve">the version number of your report that was </w:t>
      </w:r>
      <w:r w:rsidR="00C85B4E">
        <w:rPr>
          <w:b/>
        </w:rPr>
        <w:t xml:space="preserve">finally </w:t>
      </w:r>
      <w:r w:rsidRPr="0054712D">
        <w:rPr>
          <w:b/>
        </w:rPr>
        <w:t>cleared</w:t>
      </w:r>
      <w:r w:rsidR="00C85B4E">
        <w:rPr>
          <w:b/>
        </w:rPr>
        <w:t xml:space="preserve"> </w:t>
      </w:r>
      <w:r w:rsidRPr="0054712D">
        <w:rPr>
          <w:b/>
        </w:rPr>
        <w:t xml:space="preserve">at each </w:t>
      </w:r>
      <w:proofErr w:type="gramStart"/>
      <w:r w:rsidRPr="0054712D">
        <w:rPr>
          <w:b/>
        </w:rPr>
        <w:t>stage</w:t>
      </w:r>
      <w:proofErr w:type="gramEnd"/>
    </w:p>
    <w:p w14:paraId="54EF120C" w14:textId="77777777" w:rsidR="0054712D" w:rsidRDefault="0054712D" w:rsidP="0093067A"/>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2"/>
        <w:gridCol w:w="2551"/>
      </w:tblGrid>
      <w:tr w:rsidR="004456DD" w14:paraId="506F57A8" w14:textId="77777777" w:rsidTr="0080749A">
        <w:trPr>
          <w:trHeight w:val="409"/>
        </w:trPr>
        <w:tc>
          <w:tcPr>
            <w:tcW w:w="5342" w:type="dxa"/>
            <w:shd w:val="clear" w:color="auto" w:fill="auto"/>
          </w:tcPr>
          <w:p w14:paraId="729426D4" w14:textId="77777777" w:rsidR="004456DD" w:rsidRPr="00E12C99" w:rsidRDefault="004456DD" w:rsidP="00A21B12">
            <w:pPr>
              <w:rPr>
                <w:b/>
              </w:rPr>
            </w:pPr>
            <w:r w:rsidRPr="00E12C99">
              <w:rPr>
                <w:b/>
              </w:rPr>
              <w:t>Report Stage</w:t>
            </w:r>
          </w:p>
        </w:tc>
        <w:tc>
          <w:tcPr>
            <w:tcW w:w="2551" w:type="dxa"/>
            <w:shd w:val="clear" w:color="auto" w:fill="auto"/>
          </w:tcPr>
          <w:p w14:paraId="38A2965E" w14:textId="77777777" w:rsidR="004456DD" w:rsidRPr="0080749A" w:rsidRDefault="004456DD" w:rsidP="00A21B12">
            <w:pPr>
              <w:rPr>
                <w:b/>
              </w:rPr>
            </w:pPr>
            <w:r w:rsidRPr="00E12C99">
              <w:rPr>
                <w:b/>
              </w:rPr>
              <w:t>Version</w:t>
            </w:r>
            <w:r w:rsidR="0080749A">
              <w:rPr>
                <w:b/>
              </w:rPr>
              <w:t xml:space="preserve"> </w:t>
            </w:r>
            <w:r w:rsidRPr="00E12C99">
              <w:rPr>
                <w:b/>
              </w:rPr>
              <w:t>Number</w:t>
            </w:r>
          </w:p>
        </w:tc>
      </w:tr>
      <w:tr w:rsidR="004456DD" w14:paraId="5F733149" w14:textId="77777777" w:rsidTr="0080749A">
        <w:tc>
          <w:tcPr>
            <w:tcW w:w="5342" w:type="dxa"/>
            <w:shd w:val="clear" w:color="auto" w:fill="auto"/>
          </w:tcPr>
          <w:p w14:paraId="2E13199C" w14:textId="3CD46C3B" w:rsidR="009C7FD8" w:rsidRDefault="004456DD" w:rsidP="009C7FD8">
            <w:r w:rsidRPr="00E12C99">
              <w:rPr>
                <w:b/>
              </w:rPr>
              <w:t>First Draft:</w:t>
            </w:r>
            <w:r>
              <w:t xml:space="preserve"> </w:t>
            </w:r>
            <w:r w:rsidR="001F6A9B">
              <w:t xml:space="preserve"> </w:t>
            </w:r>
            <w:r w:rsidR="009C7FD8">
              <w:t xml:space="preserve">31 October 2024 </w:t>
            </w:r>
          </w:p>
          <w:p w14:paraId="64516E19" w14:textId="02CB5670" w:rsidR="004456DD" w:rsidRDefault="004456DD" w:rsidP="009C7FD8">
            <w:r w:rsidRPr="00E12C99">
              <w:rPr>
                <w:i/>
              </w:rPr>
              <w:t>Commissioned and cleared by Director</w:t>
            </w:r>
            <w:r w:rsidR="009C7FD8">
              <w:rPr>
                <w:i/>
              </w:rPr>
              <w:t xml:space="preserve"> 4 November</w:t>
            </w:r>
          </w:p>
        </w:tc>
        <w:tc>
          <w:tcPr>
            <w:tcW w:w="2551" w:type="dxa"/>
            <w:shd w:val="clear" w:color="auto" w:fill="auto"/>
          </w:tcPr>
          <w:p w14:paraId="22F9AD1F" w14:textId="51FA882C" w:rsidR="004456DD" w:rsidRDefault="003040F5" w:rsidP="00A21B12">
            <w:r>
              <w:t>V</w:t>
            </w:r>
            <w:r w:rsidR="009C7FD8">
              <w:t>1</w:t>
            </w:r>
          </w:p>
        </w:tc>
      </w:tr>
      <w:tr w:rsidR="004456DD" w14:paraId="0CBDE8CA" w14:textId="77777777" w:rsidTr="0080749A">
        <w:tc>
          <w:tcPr>
            <w:tcW w:w="5342" w:type="dxa"/>
            <w:shd w:val="clear" w:color="auto" w:fill="auto"/>
          </w:tcPr>
          <w:p w14:paraId="6136B21B" w14:textId="619FF026" w:rsidR="004456DD" w:rsidRPr="00E12C99" w:rsidRDefault="004456DD" w:rsidP="00A21B12">
            <w:pPr>
              <w:rPr>
                <w:b/>
              </w:rPr>
            </w:pPr>
            <w:r w:rsidRPr="00E12C99">
              <w:rPr>
                <w:b/>
              </w:rPr>
              <w:t>Second Draft:</w:t>
            </w:r>
            <w:r w:rsidR="001F6A9B">
              <w:rPr>
                <w:b/>
              </w:rPr>
              <w:t xml:space="preserve"> </w:t>
            </w:r>
          </w:p>
          <w:p w14:paraId="0A5BA7EE" w14:textId="183A29BB" w:rsidR="004456DD" w:rsidRPr="00E12C99" w:rsidRDefault="004456DD" w:rsidP="00A21B12">
            <w:pPr>
              <w:rPr>
                <w:i/>
              </w:rPr>
            </w:pPr>
            <w:r w:rsidRPr="00E12C99">
              <w:rPr>
                <w:i/>
              </w:rPr>
              <w:t>Cleared by Legal and Finance</w:t>
            </w:r>
            <w:r w:rsidR="00901302">
              <w:rPr>
                <w:i/>
              </w:rPr>
              <w:t xml:space="preserve"> </w:t>
            </w:r>
            <w:r w:rsidR="009C7FD8" w:rsidRPr="00DF246D">
              <w:rPr>
                <w:i/>
                <w:color w:val="auto"/>
              </w:rPr>
              <w:t xml:space="preserve">deadline </w:t>
            </w:r>
            <w:r w:rsidR="00DF246D" w:rsidRPr="00DF246D">
              <w:rPr>
                <w:i/>
                <w:color w:val="auto"/>
              </w:rPr>
              <w:t xml:space="preserve">6 </w:t>
            </w:r>
            <w:r w:rsidR="009C7FD8" w:rsidRPr="00DF246D">
              <w:rPr>
                <w:i/>
                <w:color w:val="auto"/>
              </w:rPr>
              <w:t xml:space="preserve">November  </w:t>
            </w:r>
          </w:p>
        </w:tc>
        <w:tc>
          <w:tcPr>
            <w:tcW w:w="2551" w:type="dxa"/>
            <w:shd w:val="clear" w:color="auto" w:fill="auto"/>
          </w:tcPr>
          <w:p w14:paraId="7945FB12" w14:textId="14B9AC60" w:rsidR="004456DD" w:rsidRDefault="00DF246D" w:rsidP="00A21B12">
            <w:r>
              <w:t>V2</w:t>
            </w:r>
          </w:p>
        </w:tc>
      </w:tr>
      <w:tr w:rsidR="004456DD" w14:paraId="464871B4" w14:textId="77777777" w:rsidTr="0080749A">
        <w:tc>
          <w:tcPr>
            <w:tcW w:w="5342" w:type="dxa"/>
            <w:shd w:val="clear" w:color="auto" w:fill="auto"/>
          </w:tcPr>
          <w:p w14:paraId="6C983B9C" w14:textId="50A06D28" w:rsidR="004456DD" w:rsidRPr="00E12C99" w:rsidRDefault="004456DD" w:rsidP="00A21B12">
            <w:pPr>
              <w:rPr>
                <w:b/>
              </w:rPr>
            </w:pPr>
            <w:r w:rsidRPr="00E12C99">
              <w:rPr>
                <w:b/>
              </w:rPr>
              <w:t>Final Draft:</w:t>
            </w:r>
            <w:r w:rsidR="001F6A9B">
              <w:rPr>
                <w:b/>
              </w:rPr>
              <w:t xml:space="preserve"> </w:t>
            </w:r>
            <w:r w:rsidR="001F6A9B" w:rsidRPr="009C7FD8">
              <w:t>deadline</w:t>
            </w:r>
            <w:r w:rsidR="00FB3FF9" w:rsidRPr="009C7FD8">
              <w:t xml:space="preserve"> to send to the Cabinet Members</w:t>
            </w:r>
            <w:r w:rsidR="001F6A9B" w:rsidRPr="009C7FD8">
              <w:t xml:space="preserve"> </w:t>
            </w:r>
            <w:r w:rsidR="00FE50F2" w:rsidRPr="009C7FD8">
              <w:t>11am on</w:t>
            </w:r>
            <w:r w:rsidR="00FE50F2" w:rsidRPr="00D2565F">
              <w:rPr>
                <w:color w:val="auto"/>
              </w:rPr>
              <w:t xml:space="preserve"> </w:t>
            </w:r>
            <w:r w:rsidR="00D2565F" w:rsidRPr="00D2565F">
              <w:rPr>
                <w:color w:val="auto"/>
              </w:rPr>
              <w:t>8</w:t>
            </w:r>
            <w:r w:rsidR="009C7FD8" w:rsidRPr="00D2565F">
              <w:rPr>
                <w:color w:val="auto"/>
              </w:rPr>
              <w:t xml:space="preserve"> </w:t>
            </w:r>
            <w:r w:rsidR="009C7FD8">
              <w:t>November</w:t>
            </w:r>
          </w:p>
          <w:p w14:paraId="2733D2A6" w14:textId="29167144" w:rsidR="004456DD" w:rsidRPr="00E12C99" w:rsidRDefault="004456DD" w:rsidP="00A21B12">
            <w:pPr>
              <w:rPr>
                <w:i/>
              </w:rPr>
            </w:pPr>
            <w:r w:rsidRPr="00E12C99">
              <w:rPr>
                <w:i/>
              </w:rPr>
              <w:t xml:space="preserve">Cleared by </w:t>
            </w:r>
            <w:r w:rsidR="00FB3FF9">
              <w:rPr>
                <w:i/>
              </w:rPr>
              <w:t xml:space="preserve">Cabinet Member </w:t>
            </w:r>
            <w:r w:rsidR="00407A61" w:rsidRPr="009C7FD8">
              <w:rPr>
                <w:i/>
              </w:rPr>
              <w:t xml:space="preserve">deadline </w:t>
            </w:r>
            <w:r w:rsidR="00D2565F" w:rsidRPr="00D2565F">
              <w:rPr>
                <w:i/>
                <w:color w:val="auto"/>
              </w:rPr>
              <w:t>13</w:t>
            </w:r>
            <w:r w:rsidR="009C7FD8" w:rsidRPr="00D2565F">
              <w:rPr>
                <w:i/>
                <w:color w:val="auto"/>
              </w:rPr>
              <w:t xml:space="preserve"> </w:t>
            </w:r>
            <w:r w:rsidR="009C7FD8">
              <w:rPr>
                <w:i/>
              </w:rPr>
              <w:t xml:space="preserve">November </w:t>
            </w:r>
          </w:p>
        </w:tc>
        <w:tc>
          <w:tcPr>
            <w:tcW w:w="2551" w:type="dxa"/>
            <w:shd w:val="clear" w:color="auto" w:fill="auto"/>
          </w:tcPr>
          <w:p w14:paraId="0A24F144" w14:textId="3D3F7E94" w:rsidR="004456DD" w:rsidRDefault="001F341D" w:rsidP="00A21B12">
            <w:r>
              <w:t>V3</w:t>
            </w:r>
          </w:p>
        </w:tc>
      </w:tr>
      <w:tr w:rsidR="004456DD" w14:paraId="62281AD5" w14:textId="77777777" w:rsidTr="0080749A">
        <w:tc>
          <w:tcPr>
            <w:tcW w:w="5342" w:type="dxa"/>
            <w:shd w:val="clear" w:color="auto" w:fill="auto"/>
          </w:tcPr>
          <w:p w14:paraId="643EE27A" w14:textId="618D53E7" w:rsidR="004456DD" w:rsidRDefault="004456DD" w:rsidP="00A21B12">
            <w:r w:rsidRPr="00E12C99">
              <w:rPr>
                <w:b/>
              </w:rPr>
              <w:t xml:space="preserve">Final </w:t>
            </w:r>
            <w:r w:rsidR="00C75A05">
              <w:rPr>
                <w:b/>
              </w:rPr>
              <w:t>approved author draft</w:t>
            </w:r>
            <w:r w:rsidRPr="00E12C99">
              <w:rPr>
                <w:b/>
              </w:rPr>
              <w:t>:</w:t>
            </w:r>
            <w:r w:rsidR="001F6A9B">
              <w:rPr>
                <w:b/>
              </w:rPr>
              <w:t xml:space="preserve"> </w:t>
            </w:r>
            <w:r w:rsidR="001F6A9B" w:rsidRPr="009C7FD8">
              <w:t xml:space="preserve">deadline </w:t>
            </w:r>
            <w:r w:rsidR="00D2565F" w:rsidRPr="00D2565F">
              <w:rPr>
                <w:color w:val="auto"/>
              </w:rPr>
              <w:t>14</w:t>
            </w:r>
            <w:r w:rsidR="00C75A05" w:rsidRPr="00D2565F">
              <w:rPr>
                <w:color w:val="auto"/>
              </w:rPr>
              <w:t xml:space="preserve"> </w:t>
            </w:r>
            <w:r w:rsidR="009C7FD8">
              <w:t>Nov</w:t>
            </w:r>
            <w:r w:rsidR="00C75A05" w:rsidRPr="009C7FD8">
              <w:t>ember</w:t>
            </w:r>
            <w:r w:rsidR="00F81ACF" w:rsidRPr="009C7FD8">
              <w:t xml:space="preserve"> for Labour Group agenda publication</w:t>
            </w:r>
          </w:p>
          <w:p w14:paraId="6340BF48" w14:textId="77777777" w:rsidR="00D2565F" w:rsidRPr="009C7FD8" w:rsidRDefault="00D2565F" w:rsidP="00A21B12">
            <w:pPr>
              <w:rPr>
                <w:b/>
              </w:rPr>
            </w:pPr>
          </w:p>
          <w:p w14:paraId="5B834539" w14:textId="2D7BFA82" w:rsidR="004456DD" w:rsidRPr="00E12C99" w:rsidRDefault="004456DD" w:rsidP="00A21B12">
            <w:pPr>
              <w:rPr>
                <w:i/>
              </w:rPr>
            </w:pPr>
            <w:r w:rsidRPr="009C7FD8">
              <w:rPr>
                <w:i/>
              </w:rPr>
              <w:t>Cleared by Labour Group</w:t>
            </w:r>
            <w:r w:rsidR="00331BCB" w:rsidRPr="009C7FD8">
              <w:rPr>
                <w:i/>
              </w:rPr>
              <w:t xml:space="preserve"> </w:t>
            </w:r>
            <w:r w:rsidR="009C7FD8" w:rsidRPr="009C7FD8">
              <w:rPr>
                <w:i/>
                <w:color w:val="FF0000"/>
              </w:rPr>
              <w:t xml:space="preserve">xx </w:t>
            </w:r>
            <w:r w:rsidR="009C7FD8">
              <w:rPr>
                <w:i/>
              </w:rPr>
              <w:t xml:space="preserve">November </w:t>
            </w:r>
            <w:r w:rsidR="00104D9D" w:rsidRPr="009C7FD8">
              <w:rPr>
                <w:i/>
              </w:rPr>
              <w:t xml:space="preserve">with </w:t>
            </w:r>
            <w:r w:rsidR="009C7FD8" w:rsidRPr="009C7FD8">
              <w:rPr>
                <w:i/>
                <w:color w:val="FF0000"/>
              </w:rPr>
              <w:t>xx</w:t>
            </w:r>
            <w:r w:rsidR="00C715BB" w:rsidRPr="009C7FD8">
              <w:rPr>
                <w:i/>
                <w:color w:val="FF0000"/>
              </w:rPr>
              <w:t xml:space="preserve"> </w:t>
            </w:r>
            <w:r w:rsidR="009C7FD8">
              <w:rPr>
                <w:i/>
              </w:rPr>
              <w:t>Nov</w:t>
            </w:r>
            <w:r w:rsidR="00C715BB" w:rsidRPr="009C7FD8">
              <w:rPr>
                <w:i/>
              </w:rPr>
              <w:t xml:space="preserve">ember </w:t>
            </w:r>
            <w:r w:rsidR="00104D9D" w:rsidRPr="009C7FD8">
              <w:rPr>
                <w:i/>
              </w:rPr>
              <w:t xml:space="preserve">final deadline for cabinet member clearance after </w:t>
            </w:r>
            <w:r w:rsidR="00D54672" w:rsidRPr="009C7FD8">
              <w:rPr>
                <w:i/>
              </w:rPr>
              <w:t xml:space="preserve">any </w:t>
            </w:r>
            <w:r w:rsidR="00104D9D" w:rsidRPr="009C7FD8">
              <w:rPr>
                <w:i/>
              </w:rPr>
              <w:t>Labour Group</w:t>
            </w:r>
            <w:r w:rsidR="00D54672" w:rsidRPr="009C7FD8">
              <w:rPr>
                <w:i/>
              </w:rPr>
              <w:t xml:space="preserve"> amendments</w:t>
            </w:r>
          </w:p>
        </w:tc>
        <w:tc>
          <w:tcPr>
            <w:tcW w:w="2551" w:type="dxa"/>
            <w:shd w:val="clear" w:color="auto" w:fill="auto"/>
          </w:tcPr>
          <w:p w14:paraId="560392EB" w14:textId="77777777" w:rsidR="004456DD" w:rsidRDefault="004456DD" w:rsidP="00A21B12"/>
        </w:tc>
      </w:tr>
    </w:tbl>
    <w:p w14:paraId="22EEBA84" w14:textId="77777777" w:rsidR="00A770E5" w:rsidRDefault="00A770E5" w:rsidP="002D5B8E">
      <w:pPr>
        <w:rPr>
          <w:b/>
          <w:bCs/>
        </w:rPr>
      </w:pPr>
    </w:p>
    <w:sectPr w:rsidR="00A770E5" w:rsidSect="002D5B8E">
      <w:headerReference w:type="default" r:id="rId12"/>
      <w:footerReference w:type="default" r:id="rId13"/>
      <w:headerReference w:type="first" r:id="rId14"/>
      <w:pgSz w:w="11906" w:h="16838" w:code="9"/>
      <w:pgMar w:top="1418" w:right="1304" w:bottom="113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4E8A" w14:textId="77777777" w:rsidR="00677895" w:rsidRDefault="00677895" w:rsidP="004A6D2F">
      <w:r>
        <w:separator/>
      </w:r>
    </w:p>
  </w:endnote>
  <w:endnote w:type="continuationSeparator" w:id="0">
    <w:p w14:paraId="5B9F8421" w14:textId="77777777" w:rsidR="00677895" w:rsidRDefault="00677895"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2170BBA0" w14:paraId="2C3331F7" w14:textId="77777777" w:rsidTr="2170BBA0">
      <w:trPr>
        <w:trHeight w:val="300"/>
      </w:trPr>
      <w:tc>
        <w:tcPr>
          <w:tcW w:w="4705" w:type="dxa"/>
        </w:tcPr>
        <w:p w14:paraId="767B3B24" w14:textId="1D55398E" w:rsidR="2170BBA0" w:rsidRDefault="2170BBA0" w:rsidP="2170BBA0">
          <w:pPr>
            <w:pStyle w:val="Header"/>
            <w:ind w:left="-115"/>
          </w:pPr>
        </w:p>
      </w:tc>
      <w:tc>
        <w:tcPr>
          <w:tcW w:w="4705" w:type="dxa"/>
        </w:tcPr>
        <w:p w14:paraId="164D4D7E" w14:textId="55BA1BEC" w:rsidR="2170BBA0" w:rsidRDefault="2170BBA0" w:rsidP="2170BBA0">
          <w:pPr>
            <w:pStyle w:val="Header"/>
            <w:jc w:val="center"/>
          </w:pPr>
        </w:p>
      </w:tc>
      <w:tc>
        <w:tcPr>
          <w:tcW w:w="4705" w:type="dxa"/>
        </w:tcPr>
        <w:p w14:paraId="13B5722E" w14:textId="5EB3453C" w:rsidR="2170BBA0" w:rsidRDefault="2170BBA0" w:rsidP="2170BBA0">
          <w:pPr>
            <w:pStyle w:val="Header"/>
            <w:ind w:right="-115"/>
            <w:jc w:val="right"/>
          </w:pPr>
        </w:p>
      </w:tc>
    </w:tr>
  </w:tbl>
  <w:p w14:paraId="0980647D" w14:textId="576DAF6F" w:rsidR="2170BBA0" w:rsidRDefault="2170BB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9FAA" w14:textId="77777777" w:rsidR="00677895" w:rsidRDefault="00677895" w:rsidP="004A6D2F">
      <w:r>
        <w:separator/>
      </w:r>
    </w:p>
  </w:footnote>
  <w:footnote w:type="continuationSeparator" w:id="0">
    <w:p w14:paraId="70CE5591" w14:textId="77777777" w:rsidR="00677895" w:rsidRDefault="00677895"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05"/>
      <w:gridCol w:w="4705"/>
      <w:gridCol w:w="4705"/>
    </w:tblGrid>
    <w:tr w:rsidR="2170BBA0" w14:paraId="2E7F5527" w14:textId="77777777" w:rsidTr="2170BBA0">
      <w:trPr>
        <w:trHeight w:val="300"/>
      </w:trPr>
      <w:tc>
        <w:tcPr>
          <w:tcW w:w="4705" w:type="dxa"/>
        </w:tcPr>
        <w:p w14:paraId="2F4EE2C4" w14:textId="3BF7EF76" w:rsidR="2170BBA0" w:rsidRDefault="2170BBA0" w:rsidP="2170BBA0">
          <w:pPr>
            <w:pStyle w:val="Header"/>
            <w:ind w:left="-115"/>
          </w:pPr>
        </w:p>
      </w:tc>
      <w:tc>
        <w:tcPr>
          <w:tcW w:w="4705" w:type="dxa"/>
        </w:tcPr>
        <w:p w14:paraId="636AB851" w14:textId="58106697" w:rsidR="2170BBA0" w:rsidRDefault="2170BBA0" w:rsidP="2170BBA0">
          <w:pPr>
            <w:pStyle w:val="Header"/>
            <w:jc w:val="center"/>
          </w:pPr>
        </w:p>
      </w:tc>
      <w:tc>
        <w:tcPr>
          <w:tcW w:w="4705" w:type="dxa"/>
        </w:tcPr>
        <w:p w14:paraId="207B1ABC" w14:textId="6AD495DE" w:rsidR="2170BBA0" w:rsidRDefault="2170BBA0" w:rsidP="2170BBA0">
          <w:pPr>
            <w:pStyle w:val="Header"/>
            <w:ind w:right="-115"/>
            <w:jc w:val="right"/>
          </w:pPr>
        </w:p>
      </w:tc>
    </w:tr>
  </w:tbl>
  <w:p w14:paraId="02ECFF91" w14:textId="1FED217B" w:rsidR="2170BBA0" w:rsidRDefault="2170BBA0" w:rsidP="2170B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6063" w14:textId="0384B692" w:rsidR="00A13A20" w:rsidRDefault="00A13A20" w:rsidP="00A13A20">
    <w:pPr>
      <w:pStyle w:val="Header"/>
      <w:jc w:val="right"/>
    </w:pPr>
    <w:r>
      <w:rPr>
        <w:noProof/>
      </w:rPr>
      <w:drawing>
        <wp:inline distT="0" distB="0" distL="0" distR="0" wp14:anchorId="155CAF12" wp14:editId="1FB50994">
          <wp:extent cx="838200" cy="1119505"/>
          <wp:effectExtent l="0" t="0" r="0" b="4445"/>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19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eastAsia="Times New Roman" w:hAnsi="Arial" w:cs="Times New Roman"/>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980FC5"/>
    <w:multiLevelType w:val="hybridMultilevel"/>
    <w:tmpl w:val="5B36B17E"/>
    <w:lvl w:ilvl="0" w:tplc="AFA25F0A">
      <w:start w:val="1"/>
      <w:numFmt w:val="bullet"/>
      <w:pStyle w:val="Bulletpoints"/>
      <w:lvlText w:val=""/>
      <w:lvlJc w:val="left"/>
      <w:pPr>
        <w:ind w:left="654" w:hanging="360"/>
      </w:pPr>
      <w:rPr>
        <w:rFonts w:ascii="Symbol" w:hAnsi="Symbol" w:hint="default"/>
      </w:rPr>
    </w:lvl>
    <w:lvl w:ilvl="1" w:tplc="08090019">
      <w:start w:val="1"/>
      <w:numFmt w:val="lowerLetter"/>
      <w:lvlText w:val="%2."/>
      <w:lvlJc w:val="left"/>
      <w:pPr>
        <w:ind w:left="1374" w:hanging="360"/>
      </w:pPr>
    </w:lvl>
    <w:lvl w:ilvl="2" w:tplc="0809001B">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3" w15:restartNumberingAfterBreak="0">
    <w:nsid w:val="2AFB0A9B"/>
    <w:multiLevelType w:val="hybridMultilevel"/>
    <w:tmpl w:val="0B423508"/>
    <w:lvl w:ilvl="0" w:tplc="10DC4A9A">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5A1288B"/>
    <w:multiLevelType w:val="multilevel"/>
    <w:tmpl w:val="C9A8A72A"/>
    <w:lvl w:ilvl="0">
      <w:start w:val="1"/>
      <w:numFmt w:val="lowerLetter"/>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64C52C6"/>
    <w:multiLevelType w:val="hybridMultilevel"/>
    <w:tmpl w:val="552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16EB8"/>
    <w:multiLevelType w:val="hybridMultilevel"/>
    <w:tmpl w:val="9092A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90AD7"/>
    <w:multiLevelType w:val="hybridMultilevel"/>
    <w:tmpl w:val="1876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75640"/>
    <w:multiLevelType w:val="hybridMultilevel"/>
    <w:tmpl w:val="25604A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86F0FEA"/>
    <w:multiLevelType w:val="hybridMultilevel"/>
    <w:tmpl w:val="92BA58DC"/>
    <w:lvl w:ilvl="0" w:tplc="315E37DC">
      <w:start w:val="1"/>
      <w:numFmt w:val="lowerRoman"/>
      <w:lvlText w:val="%1)."/>
      <w:lvlJc w:val="right"/>
      <w:pPr>
        <w:ind w:left="790" w:hanging="360"/>
      </w:pPr>
      <w:rPr>
        <w:rFonts w:hint="default"/>
        <w:b w:val="0"/>
        <w:bCs w:val="0"/>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0" w15:restartNumberingAfterBreak="0">
    <w:nsid w:val="4A223EFB"/>
    <w:multiLevelType w:val="hybridMultilevel"/>
    <w:tmpl w:val="F906E492"/>
    <w:lvl w:ilvl="0" w:tplc="CA14D3EE">
      <w:start w:val="43"/>
      <w:numFmt w:val="decimal"/>
      <w:lvlText w:val="%1."/>
      <w:lvlJc w:val="left"/>
      <w:pPr>
        <w:ind w:left="360" w:hanging="36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BEC3008"/>
    <w:multiLevelType w:val="hybridMultilevel"/>
    <w:tmpl w:val="3AFC36E0"/>
    <w:lvl w:ilvl="0" w:tplc="0809000F">
      <w:start w:val="3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DA6B0E"/>
    <w:multiLevelType w:val="multilevel"/>
    <w:tmpl w:val="8396AFC6"/>
    <w:lvl w:ilvl="0">
      <w:start w:val="1"/>
      <w:numFmt w:val="decimal"/>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1E9744E"/>
    <w:multiLevelType w:val="hybridMultilevel"/>
    <w:tmpl w:val="5656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A620C"/>
    <w:multiLevelType w:val="hybridMultilevel"/>
    <w:tmpl w:val="905451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98365C6"/>
    <w:multiLevelType w:val="multilevel"/>
    <w:tmpl w:val="E67CE66C"/>
    <w:numStyleLink w:val="StyleNumberedLeft0cmHanging075cm"/>
  </w:abstractNum>
  <w:num w:numId="1" w16cid:durableId="1045644304">
    <w:abstractNumId w:val="0"/>
  </w:num>
  <w:num w:numId="2" w16cid:durableId="111369690">
    <w:abstractNumId w:val="16"/>
    <w:lvlOverride w:ilvl="0">
      <w:lvl w:ilvl="0">
        <w:start w:val="1"/>
        <w:numFmt w:val="decimal"/>
        <w:pStyle w:val="ListParagraph"/>
        <w:lvlText w:val="%1."/>
        <w:lvlJc w:val="left"/>
        <w:pPr>
          <w:ind w:left="360" w:hanging="360"/>
        </w:pPr>
        <w:rPr>
          <w:rFonts w:ascii="Arial" w:eastAsia="Times New Roman" w:hAnsi="Arial" w:cs="Times New Roman"/>
          <w:color w:val="000000"/>
          <w:sz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 w16cid:durableId="661738056">
    <w:abstractNumId w:val="2"/>
  </w:num>
  <w:num w:numId="4" w16cid:durableId="896164562">
    <w:abstractNumId w:val="1"/>
  </w:num>
  <w:num w:numId="5" w16cid:durableId="470245000">
    <w:abstractNumId w:val="15"/>
  </w:num>
  <w:num w:numId="6" w16cid:durableId="1054811264">
    <w:abstractNumId w:val="12"/>
  </w:num>
  <w:num w:numId="7" w16cid:durableId="1354917065">
    <w:abstractNumId w:val="9"/>
  </w:num>
  <w:num w:numId="8" w16cid:durableId="1384986326">
    <w:abstractNumId w:val="14"/>
  </w:num>
  <w:num w:numId="9" w16cid:durableId="2001226034">
    <w:abstractNumId w:val="5"/>
  </w:num>
  <w:num w:numId="10" w16cid:durableId="188295925">
    <w:abstractNumId w:val="3"/>
  </w:num>
  <w:num w:numId="11" w16cid:durableId="240719298">
    <w:abstractNumId w:val="4"/>
  </w:num>
  <w:num w:numId="12" w16cid:durableId="517352775">
    <w:abstractNumId w:val="7"/>
  </w:num>
  <w:num w:numId="13" w16cid:durableId="1542397182">
    <w:abstractNumId w:val="13"/>
  </w:num>
  <w:num w:numId="14" w16cid:durableId="887643406">
    <w:abstractNumId w:val="6"/>
  </w:num>
  <w:num w:numId="15" w16cid:durableId="1767800748">
    <w:abstractNumId w:val="8"/>
  </w:num>
  <w:num w:numId="16" w16cid:durableId="1521313770">
    <w:abstractNumId w:val="10"/>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9038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71"/>
    <w:rsid w:val="00000F6B"/>
    <w:rsid w:val="00000F7F"/>
    <w:rsid w:val="00003362"/>
    <w:rsid w:val="00003BAE"/>
    <w:rsid w:val="00004242"/>
    <w:rsid w:val="00004D69"/>
    <w:rsid w:val="00010C96"/>
    <w:rsid w:val="00010D55"/>
    <w:rsid w:val="00010DB3"/>
    <w:rsid w:val="00010F8F"/>
    <w:rsid w:val="00010FEC"/>
    <w:rsid w:val="000117D4"/>
    <w:rsid w:val="00014DC5"/>
    <w:rsid w:val="000155B1"/>
    <w:rsid w:val="0001774E"/>
    <w:rsid w:val="00017C57"/>
    <w:rsid w:val="0002046A"/>
    <w:rsid w:val="000221F2"/>
    <w:rsid w:val="00022CB8"/>
    <w:rsid w:val="00022EF2"/>
    <w:rsid w:val="000238FD"/>
    <w:rsid w:val="00023B54"/>
    <w:rsid w:val="00025926"/>
    <w:rsid w:val="00026445"/>
    <w:rsid w:val="000279A8"/>
    <w:rsid w:val="00030109"/>
    <w:rsid w:val="00030243"/>
    <w:rsid w:val="00031404"/>
    <w:rsid w:val="000314D7"/>
    <w:rsid w:val="000321A6"/>
    <w:rsid w:val="00032EBB"/>
    <w:rsid w:val="00034054"/>
    <w:rsid w:val="00034452"/>
    <w:rsid w:val="00035920"/>
    <w:rsid w:val="0003638D"/>
    <w:rsid w:val="000377DD"/>
    <w:rsid w:val="00037C9B"/>
    <w:rsid w:val="0004030B"/>
    <w:rsid w:val="00041987"/>
    <w:rsid w:val="00041C0F"/>
    <w:rsid w:val="00042735"/>
    <w:rsid w:val="00042E91"/>
    <w:rsid w:val="00042F96"/>
    <w:rsid w:val="000436EB"/>
    <w:rsid w:val="00043EB6"/>
    <w:rsid w:val="000444EE"/>
    <w:rsid w:val="0004492F"/>
    <w:rsid w:val="00044ACE"/>
    <w:rsid w:val="00044C85"/>
    <w:rsid w:val="00045189"/>
    <w:rsid w:val="00045F8B"/>
    <w:rsid w:val="00046567"/>
    <w:rsid w:val="00046D2B"/>
    <w:rsid w:val="00046EA9"/>
    <w:rsid w:val="00046F69"/>
    <w:rsid w:val="00050F2B"/>
    <w:rsid w:val="000514D8"/>
    <w:rsid w:val="0005191E"/>
    <w:rsid w:val="00053023"/>
    <w:rsid w:val="00054376"/>
    <w:rsid w:val="00055A43"/>
    <w:rsid w:val="00056263"/>
    <w:rsid w:val="000564FB"/>
    <w:rsid w:val="00056F19"/>
    <w:rsid w:val="00061610"/>
    <w:rsid w:val="00061CAA"/>
    <w:rsid w:val="000621D8"/>
    <w:rsid w:val="0006370E"/>
    <w:rsid w:val="00064D8A"/>
    <w:rsid w:val="00064F82"/>
    <w:rsid w:val="00066510"/>
    <w:rsid w:val="0006675B"/>
    <w:rsid w:val="00067E4A"/>
    <w:rsid w:val="0007179B"/>
    <w:rsid w:val="0007212F"/>
    <w:rsid w:val="000729B4"/>
    <w:rsid w:val="00072CA9"/>
    <w:rsid w:val="00073B6B"/>
    <w:rsid w:val="00073D76"/>
    <w:rsid w:val="00074202"/>
    <w:rsid w:val="00074ADC"/>
    <w:rsid w:val="00074FDF"/>
    <w:rsid w:val="0007505B"/>
    <w:rsid w:val="0007580E"/>
    <w:rsid w:val="0007642C"/>
    <w:rsid w:val="00077376"/>
    <w:rsid w:val="00077523"/>
    <w:rsid w:val="00080049"/>
    <w:rsid w:val="0008060C"/>
    <w:rsid w:val="00080BF5"/>
    <w:rsid w:val="00081C61"/>
    <w:rsid w:val="000821D7"/>
    <w:rsid w:val="00082768"/>
    <w:rsid w:val="00085303"/>
    <w:rsid w:val="00085A3E"/>
    <w:rsid w:val="00085EA3"/>
    <w:rsid w:val="00085F4C"/>
    <w:rsid w:val="0008678D"/>
    <w:rsid w:val="00086AE4"/>
    <w:rsid w:val="00086FE0"/>
    <w:rsid w:val="00087A64"/>
    <w:rsid w:val="00090D6E"/>
    <w:rsid w:val="000911C1"/>
    <w:rsid w:val="00092A40"/>
    <w:rsid w:val="000949E3"/>
    <w:rsid w:val="00094CA3"/>
    <w:rsid w:val="00094E2E"/>
    <w:rsid w:val="00095D6A"/>
    <w:rsid w:val="00096839"/>
    <w:rsid w:val="00096C69"/>
    <w:rsid w:val="0009728F"/>
    <w:rsid w:val="000975A9"/>
    <w:rsid w:val="000A0BB9"/>
    <w:rsid w:val="000A0D7E"/>
    <w:rsid w:val="000A17ED"/>
    <w:rsid w:val="000A334E"/>
    <w:rsid w:val="000A3714"/>
    <w:rsid w:val="000A3E40"/>
    <w:rsid w:val="000A5193"/>
    <w:rsid w:val="000A55F3"/>
    <w:rsid w:val="000A6D72"/>
    <w:rsid w:val="000A78D8"/>
    <w:rsid w:val="000B1DFC"/>
    <w:rsid w:val="000B1E63"/>
    <w:rsid w:val="000B2829"/>
    <w:rsid w:val="000B36AE"/>
    <w:rsid w:val="000B3852"/>
    <w:rsid w:val="000B38EB"/>
    <w:rsid w:val="000B4AA3"/>
    <w:rsid w:val="000B6423"/>
    <w:rsid w:val="000B6538"/>
    <w:rsid w:val="000B7A90"/>
    <w:rsid w:val="000C0047"/>
    <w:rsid w:val="000C089F"/>
    <w:rsid w:val="000C3928"/>
    <w:rsid w:val="000C4757"/>
    <w:rsid w:val="000C5942"/>
    <w:rsid w:val="000C5E8E"/>
    <w:rsid w:val="000C64F8"/>
    <w:rsid w:val="000C7E34"/>
    <w:rsid w:val="000C7F90"/>
    <w:rsid w:val="000D1F06"/>
    <w:rsid w:val="000D264D"/>
    <w:rsid w:val="000D2799"/>
    <w:rsid w:val="000D41CB"/>
    <w:rsid w:val="000D5870"/>
    <w:rsid w:val="000D5980"/>
    <w:rsid w:val="000D5A53"/>
    <w:rsid w:val="000D6275"/>
    <w:rsid w:val="000D6E8B"/>
    <w:rsid w:val="000D7487"/>
    <w:rsid w:val="000D7E87"/>
    <w:rsid w:val="000E050E"/>
    <w:rsid w:val="000E1220"/>
    <w:rsid w:val="000E2931"/>
    <w:rsid w:val="000E2C83"/>
    <w:rsid w:val="000E508F"/>
    <w:rsid w:val="000E5189"/>
    <w:rsid w:val="000E5848"/>
    <w:rsid w:val="000F1B2C"/>
    <w:rsid w:val="000F24BF"/>
    <w:rsid w:val="000F2751"/>
    <w:rsid w:val="000F29C1"/>
    <w:rsid w:val="000F40CF"/>
    <w:rsid w:val="000F42B9"/>
    <w:rsid w:val="000F4751"/>
    <w:rsid w:val="000F4BFF"/>
    <w:rsid w:val="000F5411"/>
    <w:rsid w:val="000F72E9"/>
    <w:rsid w:val="00100151"/>
    <w:rsid w:val="0010036C"/>
    <w:rsid w:val="0010126E"/>
    <w:rsid w:val="00101594"/>
    <w:rsid w:val="001036DE"/>
    <w:rsid w:val="00104D7F"/>
    <w:rsid w:val="00104D9D"/>
    <w:rsid w:val="0010524C"/>
    <w:rsid w:val="001053C0"/>
    <w:rsid w:val="00106859"/>
    <w:rsid w:val="00106D7F"/>
    <w:rsid w:val="00107647"/>
    <w:rsid w:val="0011068C"/>
    <w:rsid w:val="00110AD9"/>
    <w:rsid w:val="00111016"/>
    <w:rsid w:val="00111FB1"/>
    <w:rsid w:val="00112741"/>
    <w:rsid w:val="00112E5D"/>
    <w:rsid w:val="00113418"/>
    <w:rsid w:val="00113CD4"/>
    <w:rsid w:val="00113CF9"/>
    <w:rsid w:val="0011400D"/>
    <w:rsid w:val="0011550E"/>
    <w:rsid w:val="001161A4"/>
    <w:rsid w:val="001167B0"/>
    <w:rsid w:val="00117918"/>
    <w:rsid w:val="00117AA8"/>
    <w:rsid w:val="0012094B"/>
    <w:rsid w:val="00120E7C"/>
    <w:rsid w:val="0012165E"/>
    <w:rsid w:val="00122231"/>
    <w:rsid w:val="0012338C"/>
    <w:rsid w:val="00125326"/>
    <w:rsid w:val="00125C64"/>
    <w:rsid w:val="00126093"/>
    <w:rsid w:val="00130352"/>
    <w:rsid w:val="00131850"/>
    <w:rsid w:val="00132AB9"/>
    <w:rsid w:val="0013397F"/>
    <w:rsid w:val="00134112"/>
    <w:rsid w:val="001347E5"/>
    <w:rsid w:val="00134B98"/>
    <w:rsid w:val="00134D3D"/>
    <w:rsid w:val="0013560C"/>
    <w:rsid w:val="001356F1"/>
    <w:rsid w:val="00135877"/>
    <w:rsid w:val="001358F5"/>
    <w:rsid w:val="00136076"/>
    <w:rsid w:val="00136994"/>
    <w:rsid w:val="00136EEA"/>
    <w:rsid w:val="00141010"/>
    <w:rsid w:val="0014128E"/>
    <w:rsid w:val="001414C4"/>
    <w:rsid w:val="00141658"/>
    <w:rsid w:val="00143D33"/>
    <w:rsid w:val="00144FAF"/>
    <w:rsid w:val="00145B47"/>
    <w:rsid w:val="00147910"/>
    <w:rsid w:val="0015030A"/>
    <w:rsid w:val="001509AD"/>
    <w:rsid w:val="00151888"/>
    <w:rsid w:val="00153231"/>
    <w:rsid w:val="00153EC7"/>
    <w:rsid w:val="00155599"/>
    <w:rsid w:val="00156AD5"/>
    <w:rsid w:val="00160918"/>
    <w:rsid w:val="00161ED2"/>
    <w:rsid w:val="00162584"/>
    <w:rsid w:val="00162783"/>
    <w:rsid w:val="00162921"/>
    <w:rsid w:val="00162D23"/>
    <w:rsid w:val="00164A14"/>
    <w:rsid w:val="00166822"/>
    <w:rsid w:val="001669EE"/>
    <w:rsid w:val="00167919"/>
    <w:rsid w:val="00167A4A"/>
    <w:rsid w:val="00167CA4"/>
    <w:rsid w:val="00167EF8"/>
    <w:rsid w:val="00170A15"/>
    <w:rsid w:val="00170A2D"/>
    <w:rsid w:val="001716A3"/>
    <w:rsid w:val="00174065"/>
    <w:rsid w:val="00174BC0"/>
    <w:rsid w:val="00174C2D"/>
    <w:rsid w:val="001753A7"/>
    <w:rsid w:val="00176E43"/>
    <w:rsid w:val="00177177"/>
    <w:rsid w:val="00177AC6"/>
    <w:rsid w:val="001808BC"/>
    <w:rsid w:val="001808BF"/>
    <w:rsid w:val="00181708"/>
    <w:rsid w:val="00181F9A"/>
    <w:rsid w:val="00182B81"/>
    <w:rsid w:val="001844C4"/>
    <w:rsid w:val="00185663"/>
    <w:rsid w:val="00185B0D"/>
    <w:rsid w:val="0018619D"/>
    <w:rsid w:val="00190245"/>
    <w:rsid w:val="00190974"/>
    <w:rsid w:val="00191450"/>
    <w:rsid w:val="00191CB4"/>
    <w:rsid w:val="00192C04"/>
    <w:rsid w:val="00193052"/>
    <w:rsid w:val="001939A1"/>
    <w:rsid w:val="00193A3F"/>
    <w:rsid w:val="0019415C"/>
    <w:rsid w:val="0019472E"/>
    <w:rsid w:val="00195BD5"/>
    <w:rsid w:val="0019665E"/>
    <w:rsid w:val="00196734"/>
    <w:rsid w:val="00196A9D"/>
    <w:rsid w:val="001974BA"/>
    <w:rsid w:val="001A011E"/>
    <w:rsid w:val="001A066A"/>
    <w:rsid w:val="001A13E6"/>
    <w:rsid w:val="001A2303"/>
    <w:rsid w:val="001A2669"/>
    <w:rsid w:val="001A2C8A"/>
    <w:rsid w:val="001A3953"/>
    <w:rsid w:val="001A401C"/>
    <w:rsid w:val="001A5576"/>
    <w:rsid w:val="001A56F8"/>
    <w:rsid w:val="001A5731"/>
    <w:rsid w:val="001B05B3"/>
    <w:rsid w:val="001B0CED"/>
    <w:rsid w:val="001B268E"/>
    <w:rsid w:val="001B32EE"/>
    <w:rsid w:val="001B3CE6"/>
    <w:rsid w:val="001B42C3"/>
    <w:rsid w:val="001B5D94"/>
    <w:rsid w:val="001B5DD2"/>
    <w:rsid w:val="001B5FF4"/>
    <w:rsid w:val="001B61AE"/>
    <w:rsid w:val="001B6DA2"/>
    <w:rsid w:val="001C0D15"/>
    <w:rsid w:val="001C1558"/>
    <w:rsid w:val="001C3E1F"/>
    <w:rsid w:val="001C5D5E"/>
    <w:rsid w:val="001C5E8B"/>
    <w:rsid w:val="001C5F51"/>
    <w:rsid w:val="001C6C97"/>
    <w:rsid w:val="001D10D6"/>
    <w:rsid w:val="001D216E"/>
    <w:rsid w:val="001D3494"/>
    <w:rsid w:val="001D3D91"/>
    <w:rsid w:val="001D565F"/>
    <w:rsid w:val="001D6264"/>
    <w:rsid w:val="001D678D"/>
    <w:rsid w:val="001D738B"/>
    <w:rsid w:val="001E03F8"/>
    <w:rsid w:val="001E0603"/>
    <w:rsid w:val="001E08A9"/>
    <w:rsid w:val="001E136F"/>
    <w:rsid w:val="001E1678"/>
    <w:rsid w:val="001E24AD"/>
    <w:rsid w:val="001E3376"/>
    <w:rsid w:val="001E34DF"/>
    <w:rsid w:val="001E37DA"/>
    <w:rsid w:val="001E419B"/>
    <w:rsid w:val="001E4FD6"/>
    <w:rsid w:val="001E51A1"/>
    <w:rsid w:val="001E51E3"/>
    <w:rsid w:val="001E5313"/>
    <w:rsid w:val="001E557F"/>
    <w:rsid w:val="001E6B7C"/>
    <w:rsid w:val="001F03E9"/>
    <w:rsid w:val="001F077B"/>
    <w:rsid w:val="001F0AA5"/>
    <w:rsid w:val="001F2952"/>
    <w:rsid w:val="001F341D"/>
    <w:rsid w:val="001F3CDD"/>
    <w:rsid w:val="001F409F"/>
    <w:rsid w:val="001F5065"/>
    <w:rsid w:val="001F60D5"/>
    <w:rsid w:val="001F66F8"/>
    <w:rsid w:val="001F6A9B"/>
    <w:rsid w:val="001F7DB8"/>
    <w:rsid w:val="002001AF"/>
    <w:rsid w:val="00200E0F"/>
    <w:rsid w:val="002012A0"/>
    <w:rsid w:val="002017DE"/>
    <w:rsid w:val="0020192D"/>
    <w:rsid w:val="0020322C"/>
    <w:rsid w:val="002039AF"/>
    <w:rsid w:val="00203BB4"/>
    <w:rsid w:val="00203D49"/>
    <w:rsid w:val="00204DEE"/>
    <w:rsid w:val="00205C4F"/>
    <w:rsid w:val="002063DE"/>
    <w:rsid w:val="002069B3"/>
    <w:rsid w:val="002101AA"/>
    <w:rsid w:val="002108EB"/>
    <w:rsid w:val="00211614"/>
    <w:rsid w:val="00212192"/>
    <w:rsid w:val="00213B7B"/>
    <w:rsid w:val="00214B4C"/>
    <w:rsid w:val="00215EEE"/>
    <w:rsid w:val="00215F99"/>
    <w:rsid w:val="002164DB"/>
    <w:rsid w:val="002165BD"/>
    <w:rsid w:val="0021768C"/>
    <w:rsid w:val="00217DD9"/>
    <w:rsid w:val="002217BB"/>
    <w:rsid w:val="00221EB5"/>
    <w:rsid w:val="002226BF"/>
    <w:rsid w:val="002226FB"/>
    <w:rsid w:val="002242EF"/>
    <w:rsid w:val="00225F85"/>
    <w:rsid w:val="0022696D"/>
    <w:rsid w:val="00226A39"/>
    <w:rsid w:val="00227D14"/>
    <w:rsid w:val="0023034E"/>
    <w:rsid w:val="002310FA"/>
    <w:rsid w:val="00232645"/>
    <w:rsid w:val="002329CF"/>
    <w:rsid w:val="00232F5B"/>
    <w:rsid w:val="00233F97"/>
    <w:rsid w:val="0023498E"/>
    <w:rsid w:val="00235458"/>
    <w:rsid w:val="00235AD9"/>
    <w:rsid w:val="00236178"/>
    <w:rsid w:val="00236D9C"/>
    <w:rsid w:val="002371B4"/>
    <w:rsid w:val="00237236"/>
    <w:rsid w:val="00237D8E"/>
    <w:rsid w:val="0024010A"/>
    <w:rsid w:val="00240438"/>
    <w:rsid w:val="00240D03"/>
    <w:rsid w:val="00241831"/>
    <w:rsid w:val="002422CF"/>
    <w:rsid w:val="002423EA"/>
    <w:rsid w:val="00242F09"/>
    <w:rsid w:val="00244515"/>
    <w:rsid w:val="002448C5"/>
    <w:rsid w:val="002469D1"/>
    <w:rsid w:val="0024765C"/>
    <w:rsid w:val="00247C29"/>
    <w:rsid w:val="00250EC3"/>
    <w:rsid w:val="00251334"/>
    <w:rsid w:val="00251B3C"/>
    <w:rsid w:val="00252360"/>
    <w:rsid w:val="00252638"/>
    <w:rsid w:val="00253FB2"/>
    <w:rsid w:val="002544B5"/>
    <w:rsid w:val="00255DF2"/>
    <w:rsid w:val="002562DB"/>
    <w:rsid w:val="00256602"/>
    <w:rsid w:val="0025763D"/>
    <w:rsid w:val="00257849"/>
    <w:rsid w:val="00257B3C"/>
    <w:rsid w:val="00260467"/>
    <w:rsid w:val="0026180C"/>
    <w:rsid w:val="0026200D"/>
    <w:rsid w:val="0026244D"/>
    <w:rsid w:val="002630BD"/>
    <w:rsid w:val="00263AD4"/>
    <w:rsid w:val="00263EA3"/>
    <w:rsid w:val="0026473B"/>
    <w:rsid w:val="00264EBD"/>
    <w:rsid w:val="00265738"/>
    <w:rsid w:val="002658D3"/>
    <w:rsid w:val="00265CB6"/>
    <w:rsid w:val="002671C0"/>
    <w:rsid w:val="00267311"/>
    <w:rsid w:val="00272182"/>
    <w:rsid w:val="00274FE6"/>
    <w:rsid w:val="00275004"/>
    <w:rsid w:val="00275756"/>
    <w:rsid w:val="0027620A"/>
    <w:rsid w:val="0027650C"/>
    <w:rsid w:val="002766CE"/>
    <w:rsid w:val="002779E3"/>
    <w:rsid w:val="002803AD"/>
    <w:rsid w:val="002819FB"/>
    <w:rsid w:val="00282331"/>
    <w:rsid w:val="00282E95"/>
    <w:rsid w:val="00284253"/>
    <w:rsid w:val="002843FF"/>
    <w:rsid w:val="00284AF1"/>
    <w:rsid w:val="00284F85"/>
    <w:rsid w:val="00286636"/>
    <w:rsid w:val="00286741"/>
    <w:rsid w:val="002870C3"/>
    <w:rsid w:val="0028745A"/>
    <w:rsid w:val="00290915"/>
    <w:rsid w:val="00290EC0"/>
    <w:rsid w:val="00290F27"/>
    <w:rsid w:val="002910EF"/>
    <w:rsid w:val="00292024"/>
    <w:rsid w:val="00293773"/>
    <w:rsid w:val="002941EB"/>
    <w:rsid w:val="0029583B"/>
    <w:rsid w:val="00296F2E"/>
    <w:rsid w:val="002A05D5"/>
    <w:rsid w:val="002A22E2"/>
    <w:rsid w:val="002A24C3"/>
    <w:rsid w:val="002A3306"/>
    <w:rsid w:val="002A4464"/>
    <w:rsid w:val="002A54C5"/>
    <w:rsid w:val="002A5AC1"/>
    <w:rsid w:val="002A67E5"/>
    <w:rsid w:val="002A7108"/>
    <w:rsid w:val="002B0268"/>
    <w:rsid w:val="002B0378"/>
    <w:rsid w:val="002B08AD"/>
    <w:rsid w:val="002B0A5A"/>
    <w:rsid w:val="002B1576"/>
    <w:rsid w:val="002B222A"/>
    <w:rsid w:val="002B3A2D"/>
    <w:rsid w:val="002B3AF1"/>
    <w:rsid w:val="002B423A"/>
    <w:rsid w:val="002B6353"/>
    <w:rsid w:val="002B6836"/>
    <w:rsid w:val="002C060D"/>
    <w:rsid w:val="002C18A2"/>
    <w:rsid w:val="002C29A8"/>
    <w:rsid w:val="002C3E09"/>
    <w:rsid w:val="002C49D4"/>
    <w:rsid w:val="002C517F"/>
    <w:rsid w:val="002C567A"/>
    <w:rsid w:val="002C64BF"/>
    <w:rsid w:val="002C64F7"/>
    <w:rsid w:val="002C736C"/>
    <w:rsid w:val="002C7780"/>
    <w:rsid w:val="002C7CBE"/>
    <w:rsid w:val="002C7F8B"/>
    <w:rsid w:val="002D0018"/>
    <w:rsid w:val="002D1630"/>
    <w:rsid w:val="002D2E90"/>
    <w:rsid w:val="002D4593"/>
    <w:rsid w:val="002D4B10"/>
    <w:rsid w:val="002D4CB3"/>
    <w:rsid w:val="002D5212"/>
    <w:rsid w:val="002D5B8E"/>
    <w:rsid w:val="002D5BA4"/>
    <w:rsid w:val="002D6494"/>
    <w:rsid w:val="002D64A6"/>
    <w:rsid w:val="002D7913"/>
    <w:rsid w:val="002E071B"/>
    <w:rsid w:val="002E314A"/>
    <w:rsid w:val="002E3D11"/>
    <w:rsid w:val="002E3E35"/>
    <w:rsid w:val="002E4EC5"/>
    <w:rsid w:val="002E4FDF"/>
    <w:rsid w:val="002E687D"/>
    <w:rsid w:val="002F0955"/>
    <w:rsid w:val="002F0D09"/>
    <w:rsid w:val="002F1B56"/>
    <w:rsid w:val="002F2BA1"/>
    <w:rsid w:val="002F41F2"/>
    <w:rsid w:val="002F7C9C"/>
    <w:rsid w:val="00300E48"/>
    <w:rsid w:val="003015A1"/>
    <w:rsid w:val="00301BF3"/>
    <w:rsid w:val="0030208D"/>
    <w:rsid w:val="003029AA"/>
    <w:rsid w:val="00302EFC"/>
    <w:rsid w:val="00303A5A"/>
    <w:rsid w:val="00303AF0"/>
    <w:rsid w:val="003040F5"/>
    <w:rsid w:val="00305852"/>
    <w:rsid w:val="003079CB"/>
    <w:rsid w:val="00310737"/>
    <w:rsid w:val="0031081F"/>
    <w:rsid w:val="00312188"/>
    <w:rsid w:val="00314701"/>
    <w:rsid w:val="0031520B"/>
    <w:rsid w:val="00315481"/>
    <w:rsid w:val="003177FB"/>
    <w:rsid w:val="0032016A"/>
    <w:rsid w:val="0032139C"/>
    <w:rsid w:val="00323418"/>
    <w:rsid w:val="00324D83"/>
    <w:rsid w:val="003261FD"/>
    <w:rsid w:val="0032635E"/>
    <w:rsid w:val="003310CB"/>
    <w:rsid w:val="00331BCB"/>
    <w:rsid w:val="003321B4"/>
    <w:rsid w:val="003331AB"/>
    <w:rsid w:val="0033360D"/>
    <w:rsid w:val="00333F32"/>
    <w:rsid w:val="00334A77"/>
    <w:rsid w:val="00334BDB"/>
    <w:rsid w:val="003357BF"/>
    <w:rsid w:val="00336766"/>
    <w:rsid w:val="00337B25"/>
    <w:rsid w:val="00340937"/>
    <w:rsid w:val="00340F55"/>
    <w:rsid w:val="003412DD"/>
    <w:rsid w:val="00344ADD"/>
    <w:rsid w:val="00346DBA"/>
    <w:rsid w:val="003474F7"/>
    <w:rsid w:val="00347B4C"/>
    <w:rsid w:val="00350848"/>
    <w:rsid w:val="00351480"/>
    <w:rsid w:val="00351FE2"/>
    <w:rsid w:val="0035291C"/>
    <w:rsid w:val="00352990"/>
    <w:rsid w:val="00352EFD"/>
    <w:rsid w:val="00354AA3"/>
    <w:rsid w:val="003570FF"/>
    <w:rsid w:val="00360832"/>
    <w:rsid w:val="00361A4D"/>
    <w:rsid w:val="00361AD9"/>
    <w:rsid w:val="00362695"/>
    <w:rsid w:val="00362941"/>
    <w:rsid w:val="00362B5D"/>
    <w:rsid w:val="00362E6B"/>
    <w:rsid w:val="00363590"/>
    <w:rsid w:val="003636EA"/>
    <w:rsid w:val="00363847"/>
    <w:rsid w:val="00363FB9"/>
    <w:rsid w:val="0036442F"/>
    <w:rsid w:val="00364FAD"/>
    <w:rsid w:val="00366CFF"/>
    <w:rsid w:val="00366DB8"/>
    <w:rsid w:val="00367163"/>
    <w:rsid w:val="0036738F"/>
    <w:rsid w:val="0036759C"/>
    <w:rsid w:val="00367AE5"/>
    <w:rsid w:val="00367D29"/>
    <w:rsid w:val="00367D71"/>
    <w:rsid w:val="003703BC"/>
    <w:rsid w:val="003714A1"/>
    <w:rsid w:val="00371A7C"/>
    <w:rsid w:val="003732AA"/>
    <w:rsid w:val="0037789C"/>
    <w:rsid w:val="00377B83"/>
    <w:rsid w:val="00380C41"/>
    <w:rsid w:val="0038150A"/>
    <w:rsid w:val="00381D9E"/>
    <w:rsid w:val="00386340"/>
    <w:rsid w:val="00387274"/>
    <w:rsid w:val="0038733E"/>
    <w:rsid w:val="00391070"/>
    <w:rsid w:val="003911FE"/>
    <w:rsid w:val="003934F1"/>
    <w:rsid w:val="00393591"/>
    <w:rsid w:val="00394813"/>
    <w:rsid w:val="00395B1F"/>
    <w:rsid w:val="003968B4"/>
    <w:rsid w:val="003A1561"/>
    <w:rsid w:val="003A1C5A"/>
    <w:rsid w:val="003A540F"/>
    <w:rsid w:val="003A590F"/>
    <w:rsid w:val="003A6146"/>
    <w:rsid w:val="003A63D8"/>
    <w:rsid w:val="003B2A1B"/>
    <w:rsid w:val="003B2DE1"/>
    <w:rsid w:val="003B4E37"/>
    <w:rsid w:val="003B54E8"/>
    <w:rsid w:val="003B5D06"/>
    <w:rsid w:val="003B6DED"/>
    <w:rsid w:val="003B6E75"/>
    <w:rsid w:val="003B7DA1"/>
    <w:rsid w:val="003C0722"/>
    <w:rsid w:val="003C14DE"/>
    <w:rsid w:val="003C288B"/>
    <w:rsid w:val="003C2F5E"/>
    <w:rsid w:val="003C3E74"/>
    <w:rsid w:val="003C3F40"/>
    <w:rsid w:val="003C5E0B"/>
    <w:rsid w:val="003C6228"/>
    <w:rsid w:val="003D0379"/>
    <w:rsid w:val="003D1016"/>
    <w:rsid w:val="003D15C4"/>
    <w:rsid w:val="003D1675"/>
    <w:rsid w:val="003D1CCB"/>
    <w:rsid w:val="003D2574"/>
    <w:rsid w:val="003D3286"/>
    <w:rsid w:val="003D3B9E"/>
    <w:rsid w:val="003D4557"/>
    <w:rsid w:val="003D4C59"/>
    <w:rsid w:val="003D541F"/>
    <w:rsid w:val="003D6C0B"/>
    <w:rsid w:val="003D73EE"/>
    <w:rsid w:val="003D7A83"/>
    <w:rsid w:val="003E1FB1"/>
    <w:rsid w:val="003E23E2"/>
    <w:rsid w:val="003E3D64"/>
    <w:rsid w:val="003E677A"/>
    <w:rsid w:val="003F11D4"/>
    <w:rsid w:val="003F1C55"/>
    <w:rsid w:val="003F2C31"/>
    <w:rsid w:val="003F3F3D"/>
    <w:rsid w:val="003F4132"/>
    <w:rsid w:val="003F4267"/>
    <w:rsid w:val="003F4B9F"/>
    <w:rsid w:val="003F52D7"/>
    <w:rsid w:val="003F5507"/>
    <w:rsid w:val="003F7E60"/>
    <w:rsid w:val="003F7EDE"/>
    <w:rsid w:val="00400DCB"/>
    <w:rsid w:val="00401E7C"/>
    <w:rsid w:val="004021F3"/>
    <w:rsid w:val="00403033"/>
    <w:rsid w:val="00404032"/>
    <w:rsid w:val="00404136"/>
    <w:rsid w:val="0040501A"/>
    <w:rsid w:val="0040525D"/>
    <w:rsid w:val="00407008"/>
    <w:rsid w:val="0040736F"/>
    <w:rsid w:val="0040770B"/>
    <w:rsid w:val="0040795D"/>
    <w:rsid w:val="00407A61"/>
    <w:rsid w:val="00412C1F"/>
    <w:rsid w:val="0041331B"/>
    <w:rsid w:val="00414D22"/>
    <w:rsid w:val="00414E1C"/>
    <w:rsid w:val="00416FD2"/>
    <w:rsid w:val="004179B0"/>
    <w:rsid w:val="00421CB2"/>
    <w:rsid w:val="00421F14"/>
    <w:rsid w:val="004259CF"/>
    <w:rsid w:val="00425C09"/>
    <w:rsid w:val="004268B9"/>
    <w:rsid w:val="0043119A"/>
    <w:rsid w:val="004315AE"/>
    <w:rsid w:val="00433092"/>
    <w:rsid w:val="00433B96"/>
    <w:rsid w:val="00434070"/>
    <w:rsid w:val="004344A4"/>
    <w:rsid w:val="00434675"/>
    <w:rsid w:val="00435329"/>
    <w:rsid w:val="004367D0"/>
    <w:rsid w:val="00436C82"/>
    <w:rsid w:val="0043718F"/>
    <w:rsid w:val="00437B0B"/>
    <w:rsid w:val="00441295"/>
    <w:rsid w:val="004418ED"/>
    <w:rsid w:val="0044202A"/>
    <w:rsid w:val="00443EAF"/>
    <w:rsid w:val="00443EB4"/>
    <w:rsid w:val="004440F1"/>
    <w:rsid w:val="00445198"/>
    <w:rsid w:val="004456DD"/>
    <w:rsid w:val="004461A2"/>
    <w:rsid w:val="00446CDF"/>
    <w:rsid w:val="00446FBD"/>
    <w:rsid w:val="00447672"/>
    <w:rsid w:val="004476A8"/>
    <w:rsid w:val="00447B42"/>
    <w:rsid w:val="004521B7"/>
    <w:rsid w:val="004526E8"/>
    <w:rsid w:val="00452FCA"/>
    <w:rsid w:val="004548E0"/>
    <w:rsid w:val="00456435"/>
    <w:rsid w:val="00460177"/>
    <w:rsid w:val="00461FA3"/>
    <w:rsid w:val="0046288C"/>
    <w:rsid w:val="00462AB5"/>
    <w:rsid w:val="00464A48"/>
    <w:rsid w:val="00464AF5"/>
    <w:rsid w:val="00465587"/>
    <w:rsid w:val="00465CA1"/>
    <w:rsid w:val="00465EAF"/>
    <w:rsid w:val="00470D11"/>
    <w:rsid w:val="00471600"/>
    <w:rsid w:val="00472B52"/>
    <w:rsid w:val="00472CED"/>
    <w:rsid w:val="004738C5"/>
    <w:rsid w:val="00473CA6"/>
    <w:rsid w:val="004745EF"/>
    <w:rsid w:val="004757DC"/>
    <w:rsid w:val="00475E85"/>
    <w:rsid w:val="0047737B"/>
    <w:rsid w:val="00477899"/>
    <w:rsid w:val="004826DB"/>
    <w:rsid w:val="00484CB4"/>
    <w:rsid w:val="0048556D"/>
    <w:rsid w:val="0048596E"/>
    <w:rsid w:val="00486801"/>
    <w:rsid w:val="00486EB5"/>
    <w:rsid w:val="00490AD1"/>
    <w:rsid w:val="00490E82"/>
    <w:rsid w:val="00491046"/>
    <w:rsid w:val="00491474"/>
    <w:rsid w:val="00492113"/>
    <w:rsid w:val="00492A30"/>
    <w:rsid w:val="0049576D"/>
    <w:rsid w:val="0049585A"/>
    <w:rsid w:val="00495897"/>
    <w:rsid w:val="00496078"/>
    <w:rsid w:val="00497B48"/>
    <w:rsid w:val="00497D77"/>
    <w:rsid w:val="004A08C1"/>
    <w:rsid w:val="004A0C24"/>
    <w:rsid w:val="004A1AE2"/>
    <w:rsid w:val="004A27DF"/>
    <w:rsid w:val="004A2AC7"/>
    <w:rsid w:val="004A344D"/>
    <w:rsid w:val="004A4946"/>
    <w:rsid w:val="004A53D0"/>
    <w:rsid w:val="004A6212"/>
    <w:rsid w:val="004A661F"/>
    <w:rsid w:val="004A6BB7"/>
    <w:rsid w:val="004A6D2F"/>
    <w:rsid w:val="004A71D6"/>
    <w:rsid w:val="004A7A30"/>
    <w:rsid w:val="004B0255"/>
    <w:rsid w:val="004B11AE"/>
    <w:rsid w:val="004B14A5"/>
    <w:rsid w:val="004B18C3"/>
    <w:rsid w:val="004B3202"/>
    <w:rsid w:val="004B36DE"/>
    <w:rsid w:val="004B7614"/>
    <w:rsid w:val="004B7998"/>
    <w:rsid w:val="004B7FF0"/>
    <w:rsid w:val="004C014F"/>
    <w:rsid w:val="004C01AC"/>
    <w:rsid w:val="004C0C7A"/>
    <w:rsid w:val="004C1127"/>
    <w:rsid w:val="004C21C5"/>
    <w:rsid w:val="004C2887"/>
    <w:rsid w:val="004C2B11"/>
    <w:rsid w:val="004C34E7"/>
    <w:rsid w:val="004C3E60"/>
    <w:rsid w:val="004C62A4"/>
    <w:rsid w:val="004C7146"/>
    <w:rsid w:val="004D0437"/>
    <w:rsid w:val="004D04CA"/>
    <w:rsid w:val="004D08C2"/>
    <w:rsid w:val="004D1166"/>
    <w:rsid w:val="004D150F"/>
    <w:rsid w:val="004D2121"/>
    <w:rsid w:val="004D2626"/>
    <w:rsid w:val="004D37C0"/>
    <w:rsid w:val="004D4250"/>
    <w:rsid w:val="004D4953"/>
    <w:rsid w:val="004D6E26"/>
    <w:rsid w:val="004D75D3"/>
    <w:rsid w:val="004D77D3"/>
    <w:rsid w:val="004E21C3"/>
    <w:rsid w:val="004E2959"/>
    <w:rsid w:val="004E2CA2"/>
    <w:rsid w:val="004E3F16"/>
    <w:rsid w:val="004E4753"/>
    <w:rsid w:val="004E4AD1"/>
    <w:rsid w:val="004E4D2B"/>
    <w:rsid w:val="004E6607"/>
    <w:rsid w:val="004F0016"/>
    <w:rsid w:val="004F0F8B"/>
    <w:rsid w:val="004F1059"/>
    <w:rsid w:val="004F20E8"/>
    <w:rsid w:val="004F20EF"/>
    <w:rsid w:val="004F2152"/>
    <w:rsid w:val="004F23D6"/>
    <w:rsid w:val="004F2462"/>
    <w:rsid w:val="004F2CB5"/>
    <w:rsid w:val="004F30C4"/>
    <w:rsid w:val="004F462C"/>
    <w:rsid w:val="004F5072"/>
    <w:rsid w:val="004F56C8"/>
    <w:rsid w:val="004F6C9C"/>
    <w:rsid w:val="004F79C2"/>
    <w:rsid w:val="00500ED1"/>
    <w:rsid w:val="00501ABB"/>
    <w:rsid w:val="00501EB0"/>
    <w:rsid w:val="0050321C"/>
    <w:rsid w:val="005034EC"/>
    <w:rsid w:val="00503C20"/>
    <w:rsid w:val="00503CC1"/>
    <w:rsid w:val="00503EAD"/>
    <w:rsid w:val="00504237"/>
    <w:rsid w:val="00504630"/>
    <w:rsid w:val="00505A3B"/>
    <w:rsid w:val="0050640B"/>
    <w:rsid w:val="00506950"/>
    <w:rsid w:val="00506B39"/>
    <w:rsid w:val="00507BEF"/>
    <w:rsid w:val="00507ECC"/>
    <w:rsid w:val="00510281"/>
    <w:rsid w:val="005105F3"/>
    <w:rsid w:val="00510A83"/>
    <w:rsid w:val="00510EAA"/>
    <w:rsid w:val="005111E7"/>
    <w:rsid w:val="005120A2"/>
    <w:rsid w:val="00512CC5"/>
    <w:rsid w:val="00514089"/>
    <w:rsid w:val="00514B50"/>
    <w:rsid w:val="00514FEE"/>
    <w:rsid w:val="005154FE"/>
    <w:rsid w:val="005165DF"/>
    <w:rsid w:val="00517901"/>
    <w:rsid w:val="00517D8F"/>
    <w:rsid w:val="00520223"/>
    <w:rsid w:val="005218B2"/>
    <w:rsid w:val="00522AC9"/>
    <w:rsid w:val="00523125"/>
    <w:rsid w:val="00523517"/>
    <w:rsid w:val="00524A5E"/>
    <w:rsid w:val="00526C64"/>
    <w:rsid w:val="0052716A"/>
    <w:rsid w:val="005277D8"/>
    <w:rsid w:val="005300B1"/>
    <w:rsid w:val="0053150D"/>
    <w:rsid w:val="00531540"/>
    <w:rsid w:val="00531F00"/>
    <w:rsid w:val="00532E4D"/>
    <w:rsid w:val="00532F90"/>
    <w:rsid w:val="005339DF"/>
    <w:rsid w:val="00533A81"/>
    <w:rsid w:val="0053448C"/>
    <w:rsid w:val="00534E54"/>
    <w:rsid w:val="00535F91"/>
    <w:rsid w:val="00540912"/>
    <w:rsid w:val="00540C9F"/>
    <w:rsid w:val="00541151"/>
    <w:rsid w:val="00541877"/>
    <w:rsid w:val="0054227A"/>
    <w:rsid w:val="00544FAE"/>
    <w:rsid w:val="00546460"/>
    <w:rsid w:val="00546C34"/>
    <w:rsid w:val="0054712D"/>
    <w:rsid w:val="00547BCA"/>
    <w:rsid w:val="00547C2F"/>
    <w:rsid w:val="00547EF6"/>
    <w:rsid w:val="00551639"/>
    <w:rsid w:val="005525AA"/>
    <w:rsid w:val="005542A1"/>
    <w:rsid w:val="00554311"/>
    <w:rsid w:val="005549C4"/>
    <w:rsid w:val="0055596C"/>
    <w:rsid w:val="00556B25"/>
    <w:rsid w:val="005570B5"/>
    <w:rsid w:val="00561F7C"/>
    <w:rsid w:val="005638C4"/>
    <w:rsid w:val="005650A2"/>
    <w:rsid w:val="00565574"/>
    <w:rsid w:val="00565E3A"/>
    <w:rsid w:val="00566443"/>
    <w:rsid w:val="00566615"/>
    <w:rsid w:val="005673EC"/>
    <w:rsid w:val="00567E18"/>
    <w:rsid w:val="00570971"/>
    <w:rsid w:val="0057233D"/>
    <w:rsid w:val="005731F9"/>
    <w:rsid w:val="0057321A"/>
    <w:rsid w:val="005740BD"/>
    <w:rsid w:val="00575307"/>
    <w:rsid w:val="00575F5F"/>
    <w:rsid w:val="00576884"/>
    <w:rsid w:val="005769B5"/>
    <w:rsid w:val="00576DDE"/>
    <w:rsid w:val="005775BD"/>
    <w:rsid w:val="00581805"/>
    <w:rsid w:val="005819C0"/>
    <w:rsid w:val="00583849"/>
    <w:rsid w:val="00584045"/>
    <w:rsid w:val="005844C0"/>
    <w:rsid w:val="00585566"/>
    <w:rsid w:val="00585681"/>
    <w:rsid w:val="00585F76"/>
    <w:rsid w:val="00586A0B"/>
    <w:rsid w:val="00586A5D"/>
    <w:rsid w:val="00586F34"/>
    <w:rsid w:val="0058719E"/>
    <w:rsid w:val="00590111"/>
    <w:rsid w:val="00590274"/>
    <w:rsid w:val="0059086B"/>
    <w:rsid w:val="005908FF"/>
    <w:rsid w:val="005935BA"/>
    <w:rsid w:val="00593DB5"/>
    <w:rsid w:val="00593DB9"/>
    <w:rsid w:val="00593F79"/>
    <w:rsid w:val="005958D6"/>
    <w:rsid w:val="005965C2"/>
    <w:rsid w:val="00597038"/>
    <w:rsid w:val="00597847"/>
    <w:rsid w:val="005A0B99"/>
    <w:rsid w:val="005A15B3"/>
    <w:rsid w:val="005A1B68"/>
    <w:rsid w:val="005A298F"/>
    <w:rsid w:val="005A2B58"/>
    <w:rsid w:val="005A34E4"/>
    <w:rsid w:val="005A3807"/>
    <w:rsid w:val="005A39C6"/>
    <w:rsid w:val="005A3C5A"/>
    <w:rsid w:val="005A3FC3"/>
    <w:rsid w:val="005A420E"/>
    <w:rsid w:val="005A42FC"/>
    <w:rsid w:val="005A4A13"/>
    <w:rsid w:val="005A4D2B"/>
    <w:rsid w:val="005A6108"/>
    <w:rsid w:val="005A6610"/>
    <w:rsid w:val="005A6BE6"/>
    <w:rsid w:val="005A6E34"/>
    <w:rsid w:val="005A6F9D"/>
    <w:rsid w:val="005B0F5E"/>
    <w:rsid w:val="005B17F2"/>
    <w:rsid w:val="005B3747"/>
    <w:rsid w:val="005B506B"/>
    <w:rsid w:val="005B76DA"/>
    <w:rsid w:val="005B7C4D"/>
    <w:rsid w:val="005B7CB9"/>
    <w:rsid w:val="005B7FB0"/>
    <w:rsid w:val="005C0BD0"/>
    <w:rsid w:val="005C2136"/>
    <w:rsid w:val="005C2340"/>
    <w:rsid w:val="005C35A5"/>
    <w:rsid w:val="005C425A"/>
    <w:rsid w:val="005C466D"/>
    <w:rsid w:val="005C49F8"/>
    <w:rsid w:val="005C56E2"/>
    <w:rsid w:val="005C577C"/>
    <w:rsid w:val="005C7B5F"/>
    <w:rsid w:val="005D0621"/>
    <w:rsid w:val="005D08D6"/>
    <w:rsid w:val="005D0BD6"/>
    <w:rsid w:val="005D0EAC"/>
    <w:rsid w:val="005D18DA"/>
    <w:rsid w:val="005D1E27"/>
    <w:rsid w:val="005D2A3E"/>
    <w:rsid w:val="005D3009"/>
    <w:rsid w:val="005D30A4"/>
    <w:rsid w:val="005D4A84"/>
    <w:rsid w:val="005D55C4"/>
    <w:rsid w:val="005D728E"/>
    <w:rsid w:val="005D7547"/>
    <w:rsid w:val="005E022E"/>
    <w:rsid w:val="005E0551"/>
    <w:rsid w:val="005E0DD3"/>
    <w:rsid w:val="005E1AEB"/>
    <w:rsid w:val="005E25DE"/>
    <w:rsid w:val="005E2989"/>
    <w:rsid w:val="005E5215"/>
    <w:rsid w:val="005E5DF3"/>
    <w:rsid w:val="005E6316"/>
    <w:rsid w:val="005E67B2"/>
    <w:rsid w:val="005F0965"/>
    <w:rsid w:val="005F1A6B"/>
    <w:rsid w:val="005F24D3"/>
    <w:rsid w:val="005F3B0E"/>
    <w:rsid w:val="005F4F16"/>
    <w:rsid w:val="005F5858"/>
    <w:rsid w:val="005F613F"/>
    <w:rsid w:val="005F66A8"/>
    <w:rsid w:val="005F7632"/>
    <w:rsid w:val="005F7F7E"/>
    <w:rsid w:val="00600731"/>
    <w:rsid w:val="00601303"/>
    <w:rsid w:val="00601A01"/>
    <w:rsid w:val="00602FFF"/>
    <w:rsid w:val="00603A99"/>
    <w:rsid w:val="00604272"/>
    <w:rsid w:val="00604709"/>
    <w:rsid w:val="00605321"/>
    <w:rsid w:val="006057F9"/>
    <w:rsid w:val="00605F14"/>
    <w:rsid w:val="00607101"/>
    <w:rsid w:val="006073A6"/>
    <w:rsid w:val="00607BD9"/>
    <w:rsid w:val="00611DEB"/>
    <w:rsid w:val="00614693"/>
    <w:rsid w:val="00615EDD"/>
    <w:rsid w:val="00617911"/>
    <w:rsid w:val="00617A94"/>
    <w:rsid w:val="00617C5E"/>
    <w:rsid w:val="00617F7F"/>
    <w:rsid w:val="0062049F"/>
    <w:rsid w:val="00620AAE"/>
    <w:rsid w:val="00620EAA"/>
    <w:rsid w:val="006230FD"/>
    <w:rsid w:val="00623791"/>
    <w:rsid w:val="00623C2F"/>
    <w:rsid w:val="00624522"/>
    <w:rsid w:val="0062498C"/>
    <w:rsid w:val="00624E49"/>
    <w:rsid w:val="006254A3"/>
    <w:rsid w:val="00626E00"/>
    <w:rsid w:val="00630FD7"/>
    <w:rsid w:val="00631C7A"/>
    <w:rsid w:val="00631EE5"/>
    <w:rsid w:val="00633578"/>
    <w:rsid w:val="00633ADC"/>
    <w:rsid w:val="00634515"/>
    <w:rsid w:val="00636CD9"/>
    <w:rsid w:val="00637068"/>
    <w:rsid w:val="006379A3"/>
    <w:rsid w:val="00637B00"/>
    <w:rsid w:val="0064057F"/>
    <w:rsid w:val="00640D14"/>
    <w:rsid w:val="00641604"/>
    <w:rsid w:val="0064161F"/>
    <w:rsid w:val="0064184E"/>
    <w:rsid w:val="00641DF0"/>
    <w:rsid w:val="006426B7"/>
    <w:rsid w:val="00642AEC"/>
    <w:rsid w:val="006448DA"/>
    <w:rsid w:val="006466BF"/>
    <w:rsid w:val="006469C8"/>
    <w:rsid w:val="00650056"/>
    <w:rsid w:val="00650811"/>
    <w:rsid w:val="00650F34"/>
    <w:rsid w:val="006517B3"/>
    <w:rsid w:val="006517F6"/>
    <w:rsid w:val="00652A57"/>
    <w:rsid w:val="0065342D"/>
    <w:rsid w:val="006541AE"/>
    <w:rsid w:val="00654EA8"/>
    <w:rsid w:val="00655D7E"/>
    <w:rsid w:val="0065645C"/>
    <w:rsid w:val="00656F00"/>
    <w:rsid w:val="006571A9"/>
    <w:rsid w:val="0065756A"/>
    <w:rsid w:val="0066174A"/>
    <w:rsid w:val="00661D3E"/>
    <w:rsid w:val="00662AC7"/>
    <w:rsid w:val="006642D2"/>
    <w:rsid w:val="0066447B"/>
    <w:rsid w:val="006648B7"/>
    <w:rsid w:val="006675D0"/>
    <w:rsid w:val="00667C57"/>
    <w:rsid w:val="00671438"/>
    <w:rsid w:val="006722B0"/>
    <w:rsid w:val="00672817"/>
    <w:rsid w:val="00674428"/>
    <w:rsid w:val="006744B3"/>
    <w:rsid w:val="00677895"/>
    <w:rsid w:val="00677D36"/>
    <w:rsid w:val="0068103A"/>
    <w:rsid w:val="006817C1"/>
    <w:rsid w:val="00681E5A"/>
    <w:rsid w:val="00682146"/>
    <w:rsid w:val="00682BEB"/>
    <w:rsid w:val="0068499D"/>
    <w:rsid w:val="006859D7"/>
    <w:rsid w:val="00685C02"/>
    <w:rsid w:val="006866B8"/>
    <w:rsid w:val="00686DD4"/>
    <w:rsid w:val="00692344"/>
    <w:rsid w:val="00692627"/>
    <w:rsid w:val="00693B4A"/>
    <w:rsid w:val="00694E49"/>
    <w:rsid w:val="00696604"/>
    <w:rsid w:val="006969E7"/>
    <w:rsid w:val="00697624"/>
    <w:rsid w:val="006A0EB4"/>
    <w:rsid w:val="006A191B"/>
    <w:rsid w:val="006A23A7"/>
    <w:rsid w:val="006A3643"/>
    <w:rsid w:val="006A3B57"/>
    <w:rsid w:val="006A47CB"/>
    <w:rsid w:val="006A4A51"/>
    <w:rsid w:val="006A4CE1"/>
    <w:rsid w:val="006A50E1"/>
    <w:rsid w:val="006A57D8"/>
    <w:rsid w:val="006A6C3B"/>
    <w:rsid w:val="006A6D64"/>
    <w:rsid w:val="006A6E39"/>
    <w:rsid w:val="006B10C2"/>
    <w:rsid w:val="006B1FCF"/>
    <w:rsid w:val="006B2117"/>
    <w:rsid w:val="006B4878"/>
    <w:rsid w:val="006B4DB4"/>
    <w:rsid w:val="006B5AD9"/>
    <w:rsid w:val="006B73A5"/>
    <w:rsid w:val="006B7963"/>
    <w:rsid w:val="006C18DA"/>
    <w:rsid w:val="006C26F6"/>
    <w:rsid w:val="006C2A29"/>
    <w:rsid w:val="006C3210"/>
    <w:rsid w:val="006C3381"/>
    <w:rsid w:val="006C4AC7"/>
    <w:rsid w:val="006C4CBA"/>
    <w:rsid w:val="006C64CF"/>
    <w:rsid w:val="006C668A"/>
    <w:rsid w:val="006C7ECA"/>
    <w:rsid w:val="006D1641"/>
    <w:rsid w:val="006D17B1"/>
    <w:rsid w:val="006D1FC6"/>
    <w:rsid w:val="006D252F"/>
    <w:rsid w:val="006D2994"/>
    <w:rsid w:val="006D2F19"/>
    <w:rsid w:val="006D3460"/>
    <w:rsid w:val="006D3A38"/>
    <w:rsid w:val="006D3DDB"/>
    <w:rsid w:val="006D460D"/>
    <w:rsid w:val="006D4706"/>
    <w:rsid w:val="006D4752"/>
    <w:rsid w:val="006D4CA3"/>
    <w:rsid w:val="006D4D9D"/>
    <w:rsid w:val="006D503F"/>
    <w:rsid w:val="006D5915"/>
    <w:rsid w:val="006D6358"/>
    <w:rsid w:val="006D708A"/>
    <w:rsid w:val="006E073B"/>
    <w:rsid w:val="006E0AF1"/>
    <w:rsid w:val="006E14C1"/>
    <w:rsid w:val="006E16C0"/>
    <w:rsid w:val="006E191D"/>
    <w:rsid w:val="006E1EF2"/>
    <w:rsid w:val="006E3582"/>
    <w:rsid w:val="006E471A"/>
    <w:rsid w:val="006E60D6"/>
    <w:rsid w:val="006E7C55"/>
    <w:rsid w:val="006E7DAD"/>
    <w:rsid w:val="006E7FBF"/>
    <w:rsid w:val="006F0292"/>
    <w:rsid w:val="006F1893"/>
    <w:rsid w:val="006F27FA"/>
    <w:rsid w:val="006F2BBE"/>
    <w:rsid w:val="006F3563"/>
    <w:rsid w:val="006F38B8"/>
    <w:rsid w:val="006F416B"/>
    <w:rsid w:val="006F487B"/>
    <w:rsid w:val="006F519B"/>
    <w:rsid w:val="006F5A35"/>
    <w:rsid w:val="006F6C47"/>
    <w:rsid w:val="006F70BC"/>
    <w:rsid w:val="006F78A6"/>
    <w:rsid w:val="00700929"/>
    <w:rsid w:val="00702056"/>
    <w:rsid w:val="00704307"/>
    <w:rsid w:val="00704B48"/>
    <w:rsid w:val="007051D7"/>
    <w:rsid w:val="0070674B"/>
    <w:rsid w:val="00707EED"/>
    <w:rsid w:val="0071048C"/>
    <w:rsid w:val="00711201"/>
    <w:rsid w:val="00712A2A"/>
    <w:rsid w:val="00712B58"/>
    <w:rsid w:val="00712CC1"/>
    <w:rsid w:val="00713675"/>
    <w:rsid w:val="00714FCC"/>
    <w:rsid w:val="00715823"/>
    <w:rsid w:val="00716132"/>
    <w:rsid w:val="0071757F"/>
    <w:rsid w:val="007179EC"/>
    <w:rsid w:val="00717DA9"/>
    <w:rsid w:val="00720614"/>
    <w:rsid w:val="00720F62"/>
    <w:rsid w:val="00721B06"/>
    <w:rsid w:val="00722C07"/>
    <w:rsid w:val="00723EDB"/>
    <w:rsid w:val="007248A2"/>
    <w:rsid w:val="007253EF"/>
    <w:rsid w:val="00725FC8"/>
    <w:rsid w:val="007268DD"/>
    <w:rsid w:val="00727357"/>
    <w:rsid w:val="00727FA4"/>
    <w:rsid w:val="00730922"/>
    <w:rsid w:val="0073112B"/>
    <w:rsid w:val="00732CF4"/>
    <w:rsid w:val="00733B6C"/>
    <w:rsid w:val="00733CEA"/>
    <w:rsid w:val="00734D62"/>
    <w:rsid w:val="00735959"/>
    <w:rsid w:val="007368FF"/>
    <w:rsid w:val="007371BD"/>
    <w:rsid w:val="007377D1"/>
    <w:rsid w:val="0073781C"/>
    <w:rsid w:val="00737951"/>
    <w:rsid w:val="00737AA9"/>
    <w:rsid w:val="00737B93"/>
    <w:rsid w:val="007416E1"/>
    <w:rsid w:val="00742007"/>
    <w:rsid w:val="00742267"/>
    <w:rsid w:val="00742658"/>
    <w:rsid w:val="007427E1"/>
    <w:rsid w:val="007437F7"/>
    <w:rsid w:val="00744888"/>
    <w:rsid w:val="00744C84"/>
    <w:rsid w:val="00745BF0"/>
    <w:rsid w:val="00745C4C"/>
    <w:rsid w:val="0074660D"/>
    <w:rsid w:val="0074661B"/>
    <w:rsid w:val="00746A92"/>
    <w:rsid w:val="007473D5"/>
    <w:rsid w:val="007479A7"/>
    <w:rsid w:val="00750887"/>
    <w:rsid w:val="00751322"/>
    <w:rsid w:val="00751EA3"/>
    <w:rsid w:val="00752B9D"/>
    <w:rsid w:val="00752EA4"/>
    <w:rsid w:val="00753D87"/>
    <w:rsid w:val="00754A53"/>
    <w:rsid w:val="007558EA"/>
    <w:rsid w:val="00755B30"/>
    <w:rsid w:val="00756511"/>
    <w:rsid w:val="0075776C"/>
    <w:rsid w:val="00757F27"/>
    <w:rsid w:val="0076004A"/>
    <w:rsid w:val="007615FE"/>
    <w:rsid w:val="00761B11"/>
    <w:rsid w:val="007625D9"/>
    <w:rsid w:val="00762B2C"/>
    <w:rsid w:val="00763ABD"/>
    <w:rsid w:val="00764D95"/>
    <w:rsid w:val="00764EE8"/>
    <w:rsid w:val="007653ED"/>
    <w:rsid w:val="0076655C"/>
    <w:rsid w:val="00766700"/>
    <w:rsid w:val="007679AC"/>
    <w:rsid w:val="00770DED"/>
    <w:rsid w:val="007713A5"/>
    <w:rsid w:val="00771550"/>
    <w:rsid w:val="00772879"/>
    <w:rsid w:val="007738B0"/>
    <w:rsid w:val="0077393C"/>
    <w:rsid w:val="007742DC"/>
    <w:rsid w:val="00774F58"/>
    <w:rsid w:val="007759C0"/>
    <w:rsid w:val="00776B7E"/>
    <w:rsid w:val="0077769A"/>
    <w:rsid w:val="00777F99"/>
    <w:rsid w:val="00781151"/>
    <w:rsid w:val="00781FF2"/>
    <w:rsid w:val="0078225C"/>
    <w:rsid w:val="007828BA"/>
    <w:rsid w:val="00783B31"/>
    <w:rsid w:val="00783DB4"/>
    <w:rsid w:val="007842D8"/>
    <w:rsid w:val="007847C0"/>
    <w:rsid w:val="00784970"/>
    <w:rsid w:val="00784EC5"/>
    <w:rsid w:val="00784FA9"/>
    <w:rsid w:val="0078525F"/>
    <w:rsid w:val="00785288"/>
    <w:rsid w:val="007855C8"/>
    <w:rsid w:val="00785E1E"/>
    <w:rsid w:val="00785E46"/>
    <w:rsid w:val="00786BF2"/>
    <w:rsid w:val="00790E34"/>
    <w:rsid w:val="007912B7"/>
    <w:rsid w:val="00791437"/>
    <w:rsid w:val="00791A1C"/>
    <w:rsid w:val="00791E87"/>
    <w:rsid w:val="007930C9"/>
    <w:rsid w:val="007935ED"/>
    <w:rsid w:val="00793984"/>
    <w:rsid w:val="00793A37"/>
    <w:rsid w:val="00794AEB"/>
    <w:rsid w:val="0079531D"/>
    <w:rsid w:val="007967E3"/>
    <w:rsid w:val="00797D74"/>
    <w:rsid w:val="007A01A4"/>
    <w:rsid w:val="007A04B9"/>
    <w:rsid w:val="007A2239"/>
    <w:rsid w:val="007A3422"/>
    <w:rsid w:val="007A349B"/>
    <w:rsid w:val="007A37D6"/>
    <w:rsid w:val="007A38EF"/>
    <w:rsid w:val="007A3A01"/>
    <w:rsid w:val="007A448D"/>
    <w:rsid w:val="007A5F20"/>
    <w:rsid w:val="007A6BCC"/>
    <w:rsid w:val="007A6E3D"/>
    <w:rsid w:val="007B0C2C"/>
    <w:rsid w:val="007B0E17"/>
    <w:rsid w:val="007B14BC"/>
    <w:rsid w:val="007B16DD"/>
    <w:rsid w:val="007B1780"/>
    <w:rsid w:val="007B278E"/>
    <w:rsid w:val="007B3598"/>
    <w:rsid w:val="007B35D3"/>
    <w:rsid w:val="007B38D8"/>
    <w:rsid w:val="007B433E"/>
    <w:rsid w:val="007B5CA2"/>
    <w:rsid w:val="007B6599"/>
    <w:rsid w:val="007B66D8"/>
    <w:rsid w:val="007B6AD4"/>
    <w:rsid w:val="007C13A9"/>
    <w:rsid w:val="007C1841"/>
    <w:rsid w:val="007C2615"/>
    <w:rsid w:val="007C32B4"/>
    <w:rsid w:val="007C34E0"/>
    <w:rsid w:val="007C3BED"/>
    <w:rsid w:val="007C407A"/>
    <w:rsid w:val="007C4142"/>
    <w:rsid w:val="007C45CF"/>
    <w:rsid w:val="007C4EDD"/>
    <w:rsid w:val="007C5502"/>
    <w:rsid w:val="007C5C23"/>
    <w:rsid w:val="007C7CDA"/>
    <w:rsid w:val="007C7E5C"/>
    <w:rsid w:val="007D05C1"/>
    <w:rsid w:val="007D0CF8"/>
    <w:rsid w:val="007D2236"/>
    <w:rsid w:val="007D32AE"/>
    <w:rsid w:val="007D348D"/>
    <w:rsid w:val="007D3D7D"/>
    <w:rsid w:val="007D4706"/>
    <w:rsid w:val="007D4A07"/>
    <w:rsid w:val="007D4FCE"/>
    <w:rsid w:val="007D53CC"/>
    <w:rsid w:val="007D6F2A"/>
    <w:rsid w:val="007D7028"/>
    <w:rsid w:val="007D7CE5"/>
    <w:rsid w:val="007E0622"/>
    <w:rsid w:val="007E0813"/>
    <w:rsid w:val="007E2743"/>
    <w:rsid w:val="007E2A26"/>
    <w:rsid w:val="007E3FC0"/>
    <w:rsid w:val="007E6B16"/>
    <w:rsid w:val="007E6F8C"/>
    <w:rsid w:val="007E76D5"/>
    <w:rsid w:val="007F2348"/>
    <w:rsid w:val="007F2F54"/>
    <w:rsid w:val="007F33E8"/>
    <w:rsid w:val="007F362D"/>
    <w:rsid w:val="007F4757"/>
    <w:rsid w:val="007F49CA"/>
    <w:rsid w:val="007F56D5"/>
    <w:rsid w:val="007F6409"/>
    <w:rsid w:val="007F6E77"/>
    <w:rsid w:val="007F7662"/>
    <w:rsid w:val="008000AD"/>
    <w:rsid w:val="00800909"/>
    <w:rsid w:val="00800A94"/>
    <w:rsid w:val="00801252"/>
    <w:rsid w:val="00801355"/>
    <w:rsid w:val="00801559"/>
    <w:rsid w:val="008016B2"/>
    <w:rsid w:val="00802B4D"/>
    <w:rsid w:val="00802B7C"/>
    <w:rsid w:val="00803E1B"/>
    <w:rsid w:val="00803F07"/>
    <w:rsid w:val="008041DB"/>
    <w:rsid w:val="00804A2D"/>
    <w:rsid w:val="008063FE"/>
    <w:rsid w:val="008071F3"/>
    <w:rsid w:val="0080749A"/>
    <w:rsid w:val="00814393"/>
    <w:rsid w:val="00814665"/>
    <w:rsid w:val="00815DDB"/>
    <w:rsid w:val="00820419"/>
    <w:rsid w:val="00820BA3"/>
    <w:rsid w:val="008213B8"/>
    <w:rsid w:val="008217CB"/>
    <w:rsid w:val="00821FB8"/>
    <w:rsid w:val="00822418"/>
    <w:rsid w:val="00822A0C"/>
    <w:rsid w:val="00822ACD"/>
    <w:rsid w:val="00824257"/>
    <w:rsid w:val="00824EFA"/>
    <w:rsid w:val="00825855"/>
    <w:rsid w:val="008262A5"/>
    <w:rsid w:val="00826EAA"/>
    <w:rsid w:val="008273F3"/>
    <w:rsid w:val="00827C24"/>
    <w:rsid w:val="00830AC9"/>
    <w:rsid w:val="00834D91"/>
    <w:rsid w:val="00835075"/>
    <w:rsid w:val="008354E7"/>
    <w:rsid w:val="00837EB4"/>
    <w:rsid w:val="00840776"/>
    <w:rsid w:val="008419E7"/>
    <w:rsid w:val="00841B13"/>
    <w:rsid w:val="00842A03"/>
    <w:rsid w:val="00842DB6"/>
    <w:rsid w:val="00843230"/>
    <w:rsid w:val="0084329F"/>
    <w:rsid w:val="00844682"/>
    <w:rsid w:val="00844724"/>
    <w:rsid w:val="0084510C"/>
    <w:rsid w:val="00845BEC"/>
    <w:rsid w:val="00845E72"/>
    <w:rsid w:val="00846DBC"/>
    <w:rsid w:val="008504B4"/>
    <w:rsid w:val="00850A47"/>
    <w:rsid w:val="00850DA9"/>
    <w:rsid w:val="008513B7"/>
    <w:rsid w:val="00854582"/>
    <w:rsid w:val="008545CF"/>
    <w:rsid w:val="00854633"/>
    <w:rsid w:val="00854F19"/>
    <w:rsid w:val="00855097"/>
    <w:rsid w:val="00855C15"/>
    <w:rsid w:val="00855C66"/>
    <w:rsid w:val="00857165"/>
    <w:rsid w:val="00860437"/>
    <w:rsid w:val="00860E03"/>
    <w:rsid w:val="00861692"/>
    <w:rsid w:val="008619B1"/>
    <w:rsid w:val="00862112"/>
    <w:rsid w:val="008632EE"/>
    <w:rsid w:val="0086354D"/>
    <w:rsid w:val="00864821"/>
    <w:rsid w:val="008649F3"/>
    <w:rsid w:val="00864A17"/>
    <w:rsid w:val="00866334"/>
    <w:rsid w:val="008674F2"/>
    <w:rsid w:val="008708F9"/>
    <w:rsid w:val="00870A5D"/>
    <w:rsid w:val="00871EE4"/>
    <w:rsid w:val="00872446"/>
    <w:rsid w:val="00872F48"/>
    <w:rsid w:val="00874018"/>
    <w:rsid w:val="00874A78"/>
    <w:rsid w:val="00877415"/>
    <w:rsid w:val="00877BBB"/>
    <w:rsid w:val="0088098F"/>
    <w:rsid w:val="00880A02"/>
    <w:rsid w:val="00880FB1"/>
    <w:rsid w:val="0088166D"/>
    <w:rsid w:val="00882496"/>
    <w:rsid w:val="008831AE"/>
    <w:rsid w:val="00883577"/>
    <w:rsid w:val="008839FC"/>
    <w:rsid w:val="008853D0"/>
    <w:rsid w:val="008856A0"/>
    <w:rsid w:val="0088570D"/>
    <w:rsid w:val="008860E6"/>
    <w:rsid w:val="0088650B"/>
    <w:rsid w:val="00886E77"/>
    <w:rsid w:val="00887300"/>
    <w:rsid w:val="0088731A"/>
    <w:rsid w:val="00887407"/>
    <w:rsid w:val="0088746D"/>
    <w:rsid w:val="00887940"/>
    <w:rsid w:val="0089119B"/>
    <w:rsid w:val="00893C3D"/>
    <w:rsid w:val="00893CB9"/>
    <w:rsid w:val="00893EFB"/>
    <w:rsid w:val="00894B76"/>
    <w:rsid w:val="00894D2B"/>
    <w:rsid w:val="008954DF"/>
    <w:rsid w:val="00895781"/>
    <w:rsid w:val="0089665C"/>
    <w:rsid w:val="008978D0"/>
    <w:rsid w:val="00897A91"/>
    <w:rsid w:val="008A0105"/>
    <w:rsid w:val="008A0246"/>
    <w:rsid w:val="008A0F41"/>
    <w:rsid w:val="008A1817"/>
    <w:rsid w:val="008A1D44"/>
    <w:rsid w:val="008A1F11"/>
    <w:rsid w:val="008A3551"/>
    <w:rsid w:val="008A4702"/>
    <w:rsid w:val="008A4CA3"/>
    <w:rsid w:val="008A633F"/>
    <w:rsid w:val="008A65F6"/>
    <w:rsid w:val="008A697B"/>
    <w:rsid w:val="008A7DB2"/>
    <w:rsid w:val="008B1A46"/>
    <w:rsid w:val="008B2251"/>
    <w:rsid w:val="008B293F"/>
    <w:rsid w:val="008B3755"/>
    <w:rsid w:val="008B4559"/>
    <w:rsid w:val="008B7001"/>
    <w:rsid w:val="008B7371"/>
    <w:rsid w:val="008B7FA3"/>
    <w:rsid w:val="008B7FAB"/>
    <w:rsid w:val="008C0C67"/>
    <w:rsid w:val="008C2738"/>
    <w:rsid w:val="008C2A33"/>
    <w:rsid w:val="008C2BA2"/>
    <w:rsid w:val="008C3580"/>
    <w:rsid w:val="008C35F8"/>
    <w:rsid w:val="008C6E56"/>
    <w:rsid w:val="008C6F35"/>
    <w:rsid w:val="008D042D"/>
    <w:rsid w:val="008D09F2"/>
    <w:rsid w:val="008D238E"/>
    <w:rsid w:val="008D25BB"/>
    <w:rsid w:val="008D3401"/>
    <w:rsid w:val="008D3DDB"/>
    <w:rsid w:val="008D548A"/>
    <w:rsid w:val="008D7460"/>
    <w:rsid w:val="008E0766"/>
    <w:rsid w:val="008E3478"/>
    <w:rsid w:val="008E3FEF"/>
    <w:rsid w:val="008E5C42"/>
    <w:rsid w:val="008E706F"/>
    <w:rsid w:val="008E756F"/>
    <w:rsid w:val="008E77FA"/>
    <w:rsid w:val="008F0589"/>
    <w:rsid w:val="008F0FC9"/>
    <w:rsid w:val="008F1D32"/>
    <w:rsid w:val="008F2131"/>
    <w:rsid w:val="008F2FD4"/>
    <w:rsid w:val="008F3052"/>
    <w:rsid w:val="008F30D5"/>
    <w:rsid w:val="008F32A5"/>
    <w:rsid w:val="008F35F9"/>
    <w:rsid w:val="008F3B04"/>
    <w:rsid w:val="008F4C1C"/>
    <w:rsid w:val="008F4F43"/>
    <w:rsid w:val="008F573F"/>
    <w:rsid w:val="008F57C5"/>
    <w:rsid w:val="008F6367"/>
    <w:rsid w:val="008F7708"/>
    <w:rsid w:val="009004E4"/>
    <w:rsid w:val="00901302"/>
    <w:rsid w:val="00902520"/>
    <w:rsid w:val="00902C11"/>
    <w:rsid w:val="0090349E"/>
    <w:rsid w:val="009034EC"/>
    <w:rsid w:val="00904887"/>
    <w:rsid w:val="00904B6B"/>
    <w:rsid w:val="00905164"/>
    <w:rsid w:val="00905736"/>
    <w:rsid w:val="009076D2"/>
    <w:rsid w:val="0090797C"/>
    <w:rsid w:val="00907BB3"/>
    <w:rsid w:val="00907CB3"/>
    <w:rsid w:val="00910ED8"/>
    <w:rsid w:val="00911F0A"/>
    <w:rsid w:val="009134F1"/>
    <w:rsid w:val="00915B1E"/>
    <w:rsid w:val="00915B41"/>
    <w:rsid w:val="00917190"/>
    <w:rsid w:val="0091747F"/>
    <w:rsid w:val="00917AC3"/>
    <w:rsid w:val="009216A7"/>
    <w:rsid w:val="00922ED4"/>
    <w:rsid w:val="0092478B"/>
    <w:rsid w:val="0092488F"/>
    <w:rsid w:val="009254A6"/>
    <w:rsid w:val="00925807"/>
    <w:rsid w:val="00925819"/>
    <w:rsid w:val="00925882"/>
    <w:rsid w:val="009258CA"/>
    <w:rsid w:val="00926EB5"/>
    <w:rsid w:val="009271CA"/>
    <w:rsid w:val="0092791F"/>
    <w:rsid w:val="00927AC9"/>
    <w:rsid w:val="0093067A"/>
    <w:rsid w:val="00932767"/>
    <w:rsid w:val="009329DF"/>
    <w:rsid w:val="00933110"/>
    <w:rsid w:val="0093312C"/>
    <w:rsid w:val="009335FC"/>
    <w:rsid w:val="009348F7"/>
    <w:rsid w:val="00935479"/>
    <w:rsid w:val="00935AB2"/>
    <w:rsid w:val="00935C40"/>
    <w:rsid w:val="00935C6D"/>
    <w:rsid w:val="0093667A"/>
    <w:rsid w:val="009370D1"/>
    <w:rsid w:val="009401E8"/>
    <w:rsid w:val="00940642"/>
    <w:rsid w:val="0094065C"/>
    <w:rsid w:val="00941604"/>
    <w:rsid w:val="009419CC"/>
    <w:rsid w:val="00941C60"/>
    <w:rsid w:val="00941E3E"/>
    <w:rsid w:val="00941FD1"/>
    <w:rsid w:val="00942AEE"/>
    <w:rsid w:val="00942BE4"/>
    <w:rsid w:val="00946B6F"/>
    <w:rsid w:val="009507DF"/>
    <w:rsid w:val="00950824"/>
    <w:rsid w:val="00950828"/>
    <w:rsid w:val="009519F6"/>
    <w:rsid w:val="0095239F"/>
    <w:rsid w:val="00954E13"/>
    <w:rsid w:val="0095577C"/>
    <w:rsid w:val="00955EAB"/>
    <w:rsid w:val="0095603B"/>
    <w:rsid w:val="00956A2E"/>
    <w:rsid w:val="00956DA7"/>
    <w:rsid w:val="0095750C"/>
    <w:rsid w:val="00957B75"/>
    <w:rsid w:val="00961147"/>
    <w:rsid w:val="00961961"/>
    <w:rsid w:val="00961FCA"/>
    <w:rsid w:val="0096214D"/>
    <w:rsid w:val="009622DA"/>
    <w:rsid w:val="009623AD"/>
    <w:rsid w:val="00962968"/>
    <w:rsid w:val="00962C59"/>
    <w:rsid w:val="00962D39"/>
    <w:rsid w:val="00966D42"/>
    <w:rsid w:val="00971689"/>
    <w:rsid w:val="0097170F"/>
    <w:rsid w:val="00971FEC"/>
    <w:rsid w:val="00973951"/>
    <w:rsid w:val="00973E90"/>
    <w:rsid w:val="00974879"/>
    <w:rsid w:val="00975B07"/>
    <w:rsid w:val="0097688F"/>
    <w:rsid w:val="00976ABC"/>
    <w:rsid w:val="00977D5B"/>
    <w:rsid w:val="00980B4A"/>
    <w:rsid w:val="00981AC1"/>
    <w:rsid w:val="009821B8"/>
    <w:rsid w:val="009823A8"/>
    <w:rsid w:val="009825EC"/>
    <w:rsid w:val="0098744E"/>
    <w:rsid w:val="00987ED8"/>
    <w:rsid w:val="009910FB"/>
    <w:rsid w:val="009918D2"/>
    <w:rsid w:val="00991C16"/>
    <w:rsid w:val="00992557"/>
    <w:rsid w:val="00992BB8"/>
    <w:rsid w:val="0099592C"/>
    <w:rsid w:val="00995D51"/>
    <w:rsid w:val="0099774B"/>
    <w:rsid w:val="00997D46"/>
    <w:rsid w:val="009A25D7"/>
    <w:rsid w:val="009A2E97"/>
    <w:rsid w:val="009A3DC3"/>
    <w:rsid w:val="009A3F0C"/>
    <w:rsid w:val="009A488D"/>
    <w:rsid w:val="009A520A"/>
    <w:rsid w:val="009A5742"/>
    <w:rsid w:val="009A5798"/>
    <w:rsid w:val="009A5E09"/>
    <w:rsid w:val="009A5EAE"/>
    <w:rsid w:val="009A741E"/>
    <w:rsid w:val="009A7FEE"/>
    <w:rsid w:val="009B02A1"/>
    <w:rsid w:val="009B17E2"/>
    <w:rsid w:val="009B1C09"/>
    <w:rsid w:val="009B1FE0"/>
    <w:rsid w:val="009B2AF8"/>
    <w:rsid w:val="009B3E8A"/>
    <w:rsid w:val="009B477C"/>
    <w:rsid w:val="009B5099"/>
    <w:rsid w:val="009B5E28"/>
    <w:rsid w:val="009B72E0"/>
    <w:rsid w:val="009B75B8"/>
    <w:rsid w:val="009B7B40"/>
    <w:rsid w:val="009C0086"/>
    <w:rsid w:val="009C0868"/>
    <w:rsid w:val="009C09EA"/>
    <w:rsid w:val="009C0C11"/>
    <w:rsid w:val="009C2CA8"/>
    <w:rsid w:val="009C4702"/>
    <w:rsid w:val="009C7078"/>
    <w:rsid w:val="009C78F8"/>
    <w:rsid w:val="009C7FD8"/>
    <w:rsid w:val="009D12E9"/>
    <w:rsid w:val="009D16CF"/>
    <w:rsid w:val="009D1D92"/>
    <w:rsid w:val="009D2F8F"/>
    <w:rsid w:val="009D3A64"/>
    <w:rsid w:val="009D3A82"/>
    <w:rsid w:val="009D4114"/>
    <w:rsid w:val="009D4D2C"/>
    <w:rsid w:val="009D4E1D"/>
    <w:rsid w:val="009D53C3"/>
    <w:rsid w:val="009D6595"/>
    <w:rsid w:val="009E054C"/>
    <w:rsid w:val="009E1304"/>
    <w:rsid w:val="009E19EB"/>
    <w:rsid w:val="009E2611"/>
    <w:rsid w:val="009E3D0A"/>
    <w:rsid w:val="009E3EA0"/>
    <w:rsid w:val="009E4275"/>
    <w:rsid w:val="009E4B4C"/>
    <w:rsid w:val="009E4F5B"/>
    <w:rsid w:val="009E51FC"/>
    <w:rsid w:val="009E6FD4"/>
    <w:rsid w:val="009F0C43"/>
    <w:rsid w:val="009F1D28"/>
    <w:rsid w:val="009F2CCD"/>
    <w:rsid w:val="009F32B8"/>
    <w:rsid w:val="009F5353"/>
    <w:rsid w:val="009F5711"/>
    <w:rsid w:val="009F60F7"/>
    <w:rsid w:val="009F6D13"/>
    <w:rsid w:val="009F7618"/>
    <w:rsid w:val="009F7DAE"/>
    <w:rsid w:val="00A00C5D"/>
    <w:rsid w:val="00A021E5"/>
    <w:rsid w:val="00A03648"/>
    <w:rsid w:val="00A04D23"/>
    <w:rsid w:val="00A0538B"/>
    <w:rsid w:val="00A06766"/>
    <w:rsid w:val="00A07911"/>
    <w:rsid w:val="00A110A1"/>
    <w:rsid w:val="00A1162F"/>
    <w:rsid w:val="00A11656"/>
    <w:rsid w:val="00A13765"/>
    <w:rsid w:val="00A1394E"/>
    <w:rsid w:val="00A13A20"/>
    <w:rsid w:val="00A13FFC"/>
    <w:rsid w:val="00A152FE"/>
    <w:rsid w:val="00A15C5D"/>
    <w:rsid w:val="00A15E82"/>
    <w:rsid w:val="00A16ABD"/>
    <w:rsid w:val="00A16D3B"/>
    <w:rsid w:val="00A16DE1"/>
    <w:rsid w:val="00A16DE8"/>
    <w:rsid w:val="00A16F6D"/>
    <w:rsid w:val="00A171EB"/>
    <w:rsid w:val="00A20A7B"/>
    <w:rsid w:val="00A21B12"/>
    <w:rsid w:val="00A23F80"/>
    <w:rsid w:val="00A2415E"/>
    <w:rsid w:val="00A247A5"/>
    <w:rsid w:val="00A247C7"/>
    <w:rsid w:val="00A256A5"/>
    <w:rsid w:val="00A2648B"/>
    <w:rsid w:val="00A2657B"/>
    <w:rsid w:val="00A26C9C"/>
    <w:rsid w:val="00A308B3"/>
    <w:rsid w:val="00A30FDD"/>
    <w:rsid w:val="00A32417"/>
    <w:rsid w:val="00A330B9"/>
    <w:rsid w:val="00A33FD0"/>
    <w:rsid w:val="00A36135"/>
    <w:rsid w:val="00A409E7"/>
    <w:rsid w:val="00A41353"/>
    <w:rsid w:val="00A418CC"/>
    <w:rsid w:val="00A41E49"/>
    <w:rsid w:val="00A421C0"/>
    <w:rsid w:val="00A42E1A"/>
    <w:rsid w:val="00A43771"/>
    <w:rsid w:val="00A44C7E"/>
    <w:rsid w:val="00A44ED9"/>
    <w:rsid w:val="00A45E91"/>
    <w:rsid w:val="00A46E98"/>
    <w:rsid w:val="00A51F4E"/>
    <w:rsid w:val="00A51F82"/>
    <w:rsid w:val="00A522F7"/>
    <w:rsid w:val="00A525A9"/>
    <w:rsid w:val="00A52A2F"/>
    <w:rsid w:val="00A53615"/>
    <w:rsid w:val="00A5520C"/>
    <w:rsid w:val="00A56442"/>
    <w:rsid w:val="00A56C9B"/>
    <w:rsid w:val="00A5792C"/>
    <w:rsid w:val="00A60D76"/>
    <w:rsid w:val="00A617C4"/>
    <w:rsid w:val="00A61D36"/>
    <w:rsid w:val="00A62161"/>
    <w:rsid w:val="00A631AB"/>
    <w:rsid w:val="00A6352B"/>
    <w:rsid w:val="00A64200"/>
    <w:rsid w:val="00A64998"/>
    <w:rsid w:val="00A650A4"/>
    <w:rsid w:val="00A65274"/>
    <w:rsid w:val="00A65AC4"/>
    <w:rsid w:val="00A65C8D"/>
    <w:rsid w:val="00A6666C"/>
    <w:rsid w:val="00A66988"/>
    <w:rsid w:val="00A6793E"/>
    <w:rsid w:val="00A67FD4"/>
    <w:rsid w:val="00A701B5"/>
    <w:rsid w:val="00A702BC"/>
    <w:rsid w:val="00A70C93"/>
    <w:rsid w:val="00A70EC4"/>
    <w:rsid w:val="00A714BB"/>
    <w:rsid w:val="00A71C43"/>
    <w:rsid w:val="00A72F2A"/>
    <w:rsid w:val="00A73013"/>
    <w:rsid w:val="00A735D6"/>
    <w:rsid w:val="00A7368B"/>
    <w:rsid w:val="00A75C81"/>
    <w:rsid w:val="00A76ACF"/>
    <w:rsid w:val="00A770E5"/>
    <w:rsid w:val="00A77147"/>
    <w:rsid w:val="00A7793C"/>
    <w:rsid w:val="00A8087E"/>
    <w:rsid w:val="00A8206A"/>
    <w:rsid w:val="00A8408C"/>
    <w:rsid w:val="00A84529"/>
    <w:rsid w:val="00A84F74"/>
    <w:rsid w:val="00A859B1"/>
    <w:rsid w:val="00A86481"/>
    <w:rsid w:val="00A91721"/>
    <w:rsid w:val="00A92D8F"/>
    <w:rsid w:val="00A93814"/>
    <w:rsid w:val="00A957C3"/>
    <w:rsid w:val="00A96092"/>
    <w:rsid w:val="00A965C3"/>
    <w:rsid w:val="00AA107A"/>
    <w:rsid w:val="00AA1B0B"/>
    <w:rsid w:val="00AA1FE1"/>
    <w:rsid w:val="00AA21AA"/>
    <w:rsid w:val="00AA2373"/>
    <w:rsid w:val="00AA2F68"/>
    <w:rsid w:val="00AA3E82"/>
    <w:rsid w:val="00AA4613"/>
    <w:rsid w:val="00AA4890"/>
    <w:rsid w:val="00AA48A5"/>
    <w:rsid w:val="00AA498E"/>
    <w:rsid w:val="00AA51D4"/>
    <w:rsid w:val="00AA65E0"/>
    <w:rsid w:val="00AA7661"/>
    <w:rsid w:val="00AB0401"/>
    <w:rsid w:val="00AB0C62"/>
    <w:rsid w:val="00AB1C04"/>
    <w:rsid w:val="00AB2988"/>
    <w:rsid w:val="00AB3FB2"/>
    <w:rsid w:val="00AB4309"/>
    <w:rsid w:val="00AB68EE"/>
    <w:rsid w:val="00AB6A66"/>
    <w:rsid w:val="00AB6D21"/>
    <w:rsid w:val="00AB73FB"/>
    <w:rsid w:val="00AB7999"/>
    <w:rsid w:val="00AB7BB2"/>
    <w:rsid w:val="00AC0C16"/>
    <w:rsid w:val="00AC178E"/>
    <w:rsid w:val="00AC2F95"/>
    <w:rsid w:val="00AC3682"/>
    <w:rsid w:val="00AC3A97"/>
    <w:rsid w:val="00AC51E3"/>
    <w:rsid w:val="00AC69C9"/>
    <w:rsid w:val="00AC7421"/>
    <w:rsid w:val="00AC7720"/>
    <w:rsid w:val="00AC7B1F"/>
    <w:rsid w:val="00AD1163"/>
    <w:rsid w:val="00AD19E5"/>
    <w:rsid w:val="00AD22C7"/>
    <w:rsid w:val="00AD27B8"/>
    <w:rsid w:val="00AD3292"/>
    <w:rsid w:val="00AD3501"/>
    <w:rsid w:val="00AD3620"/>
    <w:rsid w:val="00AD3889"/>
    <w:rsid w:val="00AD39F2"/>
    <w:rsid w:val="00AD4264"/>
    <w:rsid w:val="00AD57E1"/>
    <w:rsid w:val="00AD64BA"/>
    <w:rsid w:val="00AE0AB7"/>
    <w:rsid w:val="00AE0EF0"/>
    <w:rsid w:val="00AE1684"/>
    <w:rsid w:val="00AE23AD"/>
    <w:rsid w:val="00AE2598"/>
    <w:rsid w:val="00AE2C41"/>
    <w:rsid w:val="00AE2E74"/>
    <w:rsid w:val="00AE315C"/>
    <w:rsid w:val="00AE3206"/>
    <w:rsid w:val="00AE3314"/>
    <w:rsid w:val="00AE3F64"/>
    <w:rsid w:val="00AE46F8"/>
    <w:rsid w:val="00AE58A6"/>
    <w:rsid w:val="00AE61F9"/>
    <w:rsid w:val="00AE6BE6"/>
    <w:rsid w:val="00AE7AF0"/>
    <w:rsid w:val="00AE7EA8"/>
    <w:rsid w:val="00AF0D37"/>
    <w:rsid w:val="00AF0DA2"/>
    <w:rsid w:val="00AF106E"/>
    <w:rsid w:val="00AF2062"/>
    <w:rsid w:val="00AF2A19"/>
    <w:rsid w:val="00AF3709"/>
    <w:rsid w:val="00AF552B"/>
    <w:rsid w:val="00AF6925"/>
    <w:rsid w:val="00AF7670"/>
    <w:rsid w:val="00AF77C2"/>
    <w:rsid w:val="00AF7D11"/>
    <w:rsid w:val="00B03B4F"/>
    <w:rsid w:val="00B05394"/>
    <w:rsid w:val="00B05F24"/>
    <w:rsid w:val="00B065F1"/>
    <w:rsid w:val="00B06B7A"/>
    <w:rsid w:val="00B11106"/>
    <w:rsid w:val="00B11ED8"/>
    <w:rsid w:val="00B1263F"/>
    <w:rsid w:val="00B136BF"/>
    <w:rsid w:val="00B13CF7"/>
    <w:rsid w:val="00B13D85"/>
    <w:rsid w:val="00B15A99"/>
    <w:rsid w:val="00B15FCE"/>
    <w:rsid w:val="00B1655D"/>
    <w:rsid w:val="00B1695B"/>
    <w:rsid w:val="00B1778C"/>
    <w:rsid w:val="00B17F1D"/>
    <w:rsid w:val="00B20050"/>
    <w:rsid w:val="00B212A0"/>
    <w:rsid w:val="00B21523"/>
    <w:rsid w:val="00B22864"/>
    <w:rsid w:val="00B25040"/>
    <w:rsid w:val="00B251B1"/>
    <w:rsid w:val="00B267BC"/>
    <w:rsid w:val="00B30DED"/>
    <w:rsid w:val="00B311F8"/>
    <w:rsid w:val="00B329BD"/>
    <w:rsid w:val="00B340C4"/>
    <w:rsid w:val="00B365D2"/>
    <w:rsid w:val="00B36F8B"/>
    <w:rsid w:val="00B37318"/>
    <w:rsid w:val="00B3753D"/>
    <w:rsid w:val="00B37A9E"/>
    <w:rsid w:val="00B40536"/>
    <w:rsid w:val="00B40DDD"/>
    <w:rsid w:val="00B414E9"/>
    <w:rsid w:val="00B41A5C"/>
    <w:rsid w:val="00B447EA"/>
    <w:rsid w:val="00B460B5"/>
    <w:rsid w:val="00B473DF"/>
    <w:rsid w:val="00B47895"/>
    <w:rsid w:val="00B47A0C"/>
    <w:rsid w:val="00B500CA"/>
    <w:rsid w:val="00B5212A"/>
    <w:rsid w:val="00B54D01"/>
    <w:rsid w:val="00B5699E"/>
    <w:rsid w:val="00B56D66"/>
    <w:rsid w:val="00B579AB"/>
    <w:rsid w:val="00B60AA5"/>
    <w:rsid w:val="00B622E9"/>
    <w:rsid w:val="00B63285"/>
    <w:rsid w:val="00B63500"/>
    <w:rsid w:val="00B6659F"/>
    <w:rsid w:val="00B67002"/>
    <w:rsid w:val="00B6740B"/>
    <w:rsid w:val="00B70A0A"/>
    <w:rsid w:val="00B728F5"/>
    <w:rsid w:val="00B72981"/>
    <w:rsid w:val="00B7309A"/>
    <w:rsid w:val="00B7360F"/>
    <w:rsid w:val="00B75114"/>
    <w:rsid w:val="00B7698E"/>
    <w:rsid w:val="00B80040"/>
    <w:rsid w:val="00B81527"/>
    <w:rsid w:val="00B81E1E"/>
    <w:rsid w:val="00B82DA2"/>
    <w:rsid w:val="00B83159"/>
    <w:rsid w:val="00B8556C"/>
    <w:rsid w:val="00B86314"/>
    <w:rsid w:val="00B8660E"/>
    <w:rsid w:val="00B868CD"/>
    <w:rsid w:val="00B90C38"/>
    <w:rsid w:val="00B910AC"/>
    <w:rsid w:val="00B91792"/>
    <w:rsid w:val="00B91B34"/>
    <w:rsid w:val="00B91C65"/>
    <w:rsid w:val="00B93318"/>
    <w:rsid w:val="00B9397E"/>
    <w:rsid w:val="00B93EEE"/>
    <w:rsid w:val="00B94593"/>
    <w:rsid w:val="00B948F7"/>
    <w:rsid w:val="00B94D16"/>
    <w:rsid w:val="00B964FF"/>
    <w:rsid w:val="00B9760A"/>
    <w:rsid w:val="00BA053C"/>
    <w:rsid w:val="00BA1C2E"/>
    <w:rsid w:val="00BA2941"/>
    <w:rsid w:val="00BA2C36"/>
    <w:rsid w:val="00BA3B3D"/>
    <w:rsid w:val="00BA3E6B"/>
    <w:rsid w:val="00BA4068"/>
    <w:rsid w:val="00BA5607"/>
    <w:rsid w:val="00BA63C3"/>
    <w:rsid w:val="00BB136C"/>
    <w:rsid w:val="00BB2EA5"/>
    <w:rsid w:val="00BB42D5"/>
    <w:rsid w:val="00BB47A2"/>
    <w:rsid w:val="00BB492A"/>
    <w:rsid w:val="00BC179A"/>
    <w:rsid w:val="00BC1EE3"/>
    <w:rsid w:val="00BC200B"/>
    <w:rsid w:val="00BC2364"/>
    <w:rsid w:val="00BC24D2"/>
    <w:rsid w:val="00BC2991"/>
    <w:rsid w:val="00BC395A"/>
    <w:rsid w:val="00BC3B10"/>
    <w:rsid w:val="00BC449B"/>
    <w:rsid w:val="00BC4756"/>
    <w:rsid w:val="00BC4BF9"/>
    <w:rsid w:val="00BC542B"/>
    <w:rsid w:val="00BC5EE8"/>
    <w:rsid w:val="00BC62C9"/>
    <w:rsid w:val="00BC69A4"/>
    <w:rsid w:val="00BC7827"/>
    <w:rsid w:val="00BD045E"/>
    <w:rsid w:val="00BD2390"/>
    <w:rsid w:val="00BD23EE"/>
    <w:rsid w:val="00BD2A4B"/>
    <w:rsid w:val="00BD4A60"/>
    <w:rsid w:val="00BD53E1"/>
    <w:rsid w:val="00BD711A"/>
    <w:rsid w:val="00BD711B"/>
    <w:rsid w:val="00BD72C5"/>
    <w:rsid w:val="00BE0680"/>
    <w:rsid w:val="00BE1C09"/>
    <w:rsid w:val="00BE2DD8"/>
    <w:rsid w:val="00BE305F"/>
    <w:rsid w:val="00BE4027"/>
    <w:rsid w:val="00BE7BA3"/>
    <w:rsid w:val="00BF220E"/>
    <w:rsid w:val="00BF2B9E"/>
    <w:rsid w:val="00BF30FD"/>
    <w:rsid w:val="00BF3F96"/>
    <w:rsid w:val="00BF4F2C"/>
    <w:rsid w:val="00BF544E"/>
    <w:rsid w:val="00BF5682"/>
    <w:rsid w:val="00BF569D"/>
    <w:rsid w:val="00BF7B09"/>
    <w:rsid w:val="00BF7CAA"/>
    <w:rsid w:val="00BF7EDF"/>
    <w:rsid w:val="00C00158"/>
    <w:rsid w:val="00C0044D"/>
    <w:rsid w:val="00C005F4"/>
    <w:rsid w:val="00C03236"/>
    <w:rsid w:val="00C03EF4"/>
    <w:rsid w:val="00C04426"/>
    <w:rsid w:val="00C04DCD"/>
    <w:rsid w:val="00C05260"/>
    <w:rsid w:val="00C056E4"/>
    <w:rsid w:val="00C076B9"/>
    <w:rsid w:val="00C0780E"/>
    <w:rsid w:val="00C07D94"/>
    <w:rsid w:val="00C10B7B"/>
    <w:rsid w:val="00C110BA"/>
    <w:rsid w:val="00C14B34"/>
    <w:rsid w:val="00C15DB9"/>
    <w:rsid w:val="00C16B89"/>
    <w:rsid w:val="00C17E4B"/>
    <w:rsid w:val="00C2049D"/>
    <w:rsid w:val="00C20544"/>
    <w:rsid w:val="00C20A95"/>
    <w:rsid w:val="00C20C4F"/>
    <w:rsid w:val="00C20F48"/>
    <w:rsid w:val="00C21165"/>
    <w:rsid w:val="00C21AE2"/>
    <w:rsid w:val="00C227C6"/>
    <w:rsid w:val="00C23338"/>
    <w:rsid w:val="00C23361"/>
    <w:rsid w:val="00C244B5"/>
    <w:rsid w:val="00C245E4"/>
    <w:rsid w:val="00C2480D"/>
    <w:rsid w:val="00C249B3"/>
    <w:rsid w:val="00C25030"/>
    <w:rsid w:val="00C258E0"/>
    <w:rsid w:val="00C26592"/>
    <w:rsid w:val="00C26735"/>
    <w:rsid w:val="00C2692F"/>
    <w:rsid w:val="00C277F0"/>
    <w:rsid w:val="00C30A90"/>
    <w:rsid w:val="00C31082"/>
    <w:rsid w:val="00C3207C"/>
    <w:rsid w:val="00C32B6C"/>
    <w:rsid w:val="00C32DDF"/>
    <w:rsid w:val="00C33C14"/>
    <w:rsid w:val="00C3543A"/>
    <w:rsid w:val="00C400E1"/>
    <w:rsid w:val="00C40929"/>
    <w:rsid w:val="00C40C2C"/>
    <w:rsid w:val="00C40C30"/>
    <w:rsid w:val="00C40F34"/>
    <w:rsid w:val="00C4114D"/>
    <w:rsid w:val="00C41187"/>
    <w:rsid w:val="00C41E91"/>
    <w:rsid w:val="00C42731"/>
    <w:rsid w:val="00C43D72"/>
    <w:rsid w:val="00C441A4"/>
    <w:rsid w:val="00C455C9"/>
    <w:rsid w:val="00C4577B"/>
    <w:rsid w:val="00C45A56"/>
    <w:rsid w:val="00C47016"/>
    <w:rsid w:val="00C50806"/>
    <w:rsid w:val="00C5165C"/>
    <w:rsid w:val="00C531D3"/>
    <w:rsid w:val="00C53B7C"/>
    <w:rsid w:val="00C545BA"/>
    <w:rsid w:val="00C54EF4"/>
    <w:rsid w:val="00C56958"/>
    <w:rsid w:val="00C5788F"/>
    <w:rsid w:val="00C600BB"/>
    <w:rsid w:val="00C60AFF"/>
    <w:rsid w:val="00C6235D"/>
    <w:rsid w:val="00C627AE"/>
    <w:rsid w:val="00C63C31"/>
    <w:rsid w:val="00C646C0"/>
    <w:rsid w:val="00C65D69"/>
    <w:rsid w:val="00C66027"/>
    <w:rsid w:val="00C66F16"/>
    <w:rsid w:val="00C6763F"/>
    <w:rsid w:val="00C715BB"/>
    <w:rsid w:val="00C71F55"/>
    <w:rsid w:val="00C7274B"/>
    <w:rsid w:val="00C73C46"/>
    <w:rsid w:val="00C74944"/>
    <w:rsid w:val="00C74BF0"/>
    <w:rsid w:val="00C75212"/>
    <w:rsid w:val="00C756BD"/>
    <w:rsid w:val="00C75756"/>
    <w:rsid w:val="00C757A0"/>
    <w:rsid w:val="00C7591D"/>
    <w:rsid w:val="00C75A05"/>
    <w:rsid w:val="00C760DE"/>
    <w:rsid w:val="00C76FD4"/>
    <w:rsid w:val="00C773A9"/>
    <w:rsid w:val="00C774B7"/>
    <w:rsid w:val="00C8034B"/>
    <w:rsid w:val="00C80AF3"/>
    <w:rsid w:val="00C80B2E"/>
    <w:rsid w:val="00C80C23"/>
    <w:rsid w:val="00C816EC"/>
    <w:rsid w:val="00C81C71"/>
    <w:rsid w:val="00C82630"/>
    <w:rsid w:val="00C82B40"/>
    <w:rsid w:val="00C8358A"/>
    <w:rsid w:val="00C837A0"/>
    <w:rsid w:val="00C838DA"/>
    <w:rsid w:val="00C83B11"/>
    <w:rsid w:val="00C84419"/>
    <w:rsid w:val="00C84F22"/>
    <w:rsid w:val="00C85B4E"/>
    <w:rsid w:val="00C86691"/>
    <w:rsid w:val="00C907F7"/>
    <w:rsid w:val="00C9147D"/>
    <w:rsid w:val="00C91B41"/>
    <w:rsid w:val="00C92987"/>
    <w:rsid w:val="00C9299D"/>
    <w:rsid w:val="00C93D66"/>
    <w:rsid w:val="00C941E2"/>
    <w:rsid w:val="00C941EF"/>
    <w:rsid w:val="00C95242"/>
    <w:rsid w:val="00C95C72"/>
    <w:rsid w:val="00C968B7"/>
    <w:rsid w:val="00C97DEC"/>
    <w:rsid w:val="00CA0C2B"/>
    <w:rsid w:val="00CA2103"/>
    <w:rsid w:val="00CA21AE"/>
    <w:rsid w:val="00CA28B0"/>
    <w:rsid w:val="00CA4BB3"/>
    <w:rsid w:val="00CA510B"/>
    <w:rsid w:val="00CA7E32"/>
    <w:rsid w:val="00CA7E5E"/>
    <w:rsid w:val="00CB010D"/>
    <w:rsid w:val="00CB21E8"/>
    <w:rsid w:val="00CB3EE7"/>
    <w:rsid w:val="00CB5BB0"/>
    <w:rsid w:val="00CB613F"/>
    <w:rsid w:val="00CB6A33"/>
    <w:rsid w:val="00CB6B99"/>
    <w:rsid w:val="00CB7175"/>
    <w:rsid w:val="00CB7455"/>
    <w:rsid w:val="00CB7722"/>
    <w:rsid w:val="00CC11B9"/>
    <w:rsid w:val="00CC229D"/>
    <w:rsid w:val="00CC23D7"/>
    <w:rsid w:val="00CC328E"/>
    <w:rsid w:val="00CC3510"/>
    <w:rsid w:val="00CC3F22"/>
    <w:rsid w:val="00CC4759"/>
    <w:rsid w:val="00CC562E"/>
    <w:rsid w:val="00CC5E10"/>
    <w:rsid w:val="00CC737C"/>
    <w:rsid w:val="00CC7478"/>
    <w:rsid w:val="00CC7A24"/>
    <w:rsid w:val="00CD0A2D"/>
    <w:rsid w:val="00CD3E47"/>
    <w:rsid w:val="00CD42B2"/>
    <w:rsid w:val="00CD48C7"/>
    <w:rsid w:val="00CD50FF"/>
    <w:rsid w:val="00CD66D5"/>
    <w:rsid w:val="00CD6DAB"/>
    <w:rsid w:val="00CE13CB"/>
    <w:rsid w:val="00CE24C3"/>
    <w:rsid w:val="00CE4C87"/>
    <w:rsid w:val="00CE544A"/>
    <w:rsid w:val="00CE7A34"/>
    <w:rsid w:val="00CF0F8D"/>
    <w:rsid w:val="00CF1B43"/>
    <w:rsid w:val="00CF2CA4"/>
    <w:rsid w:val="00CF4876"/>
    <w:rsid w:val="00D001EC"/>
    <w:rsid w:val="00D02C41"/>
    <w:rsid w:val="00D03970"/>
    <w:rsid w:val="00D0418E"/>
    <w:rsid w:val="00D07109"/>
    <w:rsid w:val="00D07670"/>
    <w:rsid w:val="00D07B10"/>
    <w:rsid w:val="00D11E1C"/>
    <w:rsid w:val="00D12D66"/>
    <w:rsid w:val="00D13AE5"/>
    <w:rsid w:val="00D149A3"/>
    <w:rsid w:val="00D149CD"/>
    <w:rsid w:val="00D160B0"/>
    <w:rsid w:val="00D16595"/>
    <w:rsid w:val="00D17F94"/>
    <w:rsid w:val="00D206A5"/>
    <w:rsid w:val="00D20719"/>
    <w:rsid w:val="00D20E5E"/>
    <w:rsid w:val="00D223FC"/>
    <w:rsid w:val="00D22617"/>
    <w:rsid w:val="00D2431E"/>
    <w:rsid w:val="00D24408"/>
    <w:rsid w:val="00D251CD"/>
    <w:rsid w:val="00D2565F"/>
    <w:rsid w:val="00D26D1E"/>
    <w:rsid w:val="00D27384"/>
    <w:rsid w:val="00D30342"/>
    <w:rsid w:val="00D3180B"/>
    <w:rsid w:val="00D32AD7"/>
    <w:rsid w:val="00D349D0"/>
    <w:rsid w:val="00D34AAA"/>
    <w:rsid w:val="00D35775"/>
    <w:rsid w:val="00D35CA5"/>
    <w:rsid w:val="00D3609B"/>
    <w:rsid w:val="00D40500"/>
    <w:rsid w:val="00D41AE9"/>
    <w:rsid w:val="00D424A5"/>
    <w:rsid w:val="00D43004"/>
    <w:rsid w:val="00D44280"/>
    <w:rsid w:val="00D4540C"/>
    <w:rsid w:val="00D4662B"/>
    <w:rsid w:val="00D46CFB"/>
    <w:rsid w:val="00D474CF"/>
    <w:rsid w:val="00D5145C"/>
    <w:rsid w:val="00D51946"/>
    <w:rsid w:val="00D52005"/>
    <w:rsid w:val="00D521CA"/>
    <w:rsid w:val="00D521E2"/>
    <w:rsid w:val="00D53956"/>
    <w:rsid w:val="00D54672"/>
    <w:rsid w:val="00D54C86"/>
    <w:rsid w:val="00D5547E"/>
    <w:rsid w:val="00D5601C"/>
    <w:rsid w:val="00D56BEF"/>
    <w:rsid w:val="00D56E28"/>
    <w:rsid w:val="00D572C9"/>
    <w:rsid w:val="00D6085B"/>
    <w:rsid w:val="00D61B3F"/>
    <w:rsid w:val="00D62A5A"/>
    <w:rsid w:val="00D6361E"/>
    <w:rsid w:val="00D65F2B"/>
    <w:rsid w:val="00D673B4"/>
    <w:rsid w:val="00D70C77"/>
    <w:rsid w:val="00D725D0"/>
    <w:rsid w:val="00D76393"/>
    <w:rsid w:val="00D76961"/>
    <w:rsid w:val="00D821F0"/>
    <w:rsid w:val="00D82DF1"/>
    <w:rsid w:val="00D836C9"/>
    <w:rsid w:val="00D83BC0"/>
    <w:rsid w:val="00D85F87"/>
    <w:rsid w:val="00D860E2"/>
    <w:rsid w:val="00D864CD"/>
    <w:rsid w:val="00D86777"/>
    <w:rsid w:val="00D869A1"/>
    <w:rsid w:val="00D86EFC"/>
    <w:rsid w:val="00D914E3"/>
    <w:rsid w:val="00D93183"/>
    <w:rsid w:val="00D9340F"/>
    <w:rsid w:val="00D93DA3"/>
    <w:rsid w:val="00D94E4F"/>
    <w:rsid w:val="00D95D46"/>
    <w:rsid w:val="00D96490"/>
    <w:rsid w:val="00D9697E"/>
    <w:rsid w:val="00D96C05"/>
    <w:rsid w:val="00DA0A9E"/>
    <w:rsid w:val="00DA18A2"/>
    <w:rsid w:val="00DA2371"/>
    <w:rsid w:val="00DA263F"/>
    <w:rsid w:val="00DA2753"/>
    <w:rsid w:val="00DA2BB7"/>
    <w:rsid w:val="00DA413F"/>
    <w:rsid w:val="00DA4584"/>
    <w:rsid w:val="00DA48CA"/>
    <w:rsid w:val="00DA504D"/>
    <w:rsid w:val="00DA5602"/>
    <w:rsid w:val="00DA56EC"/>
    <w:rsid w:val="00DA614B"/>
    <w:rsid w:val="00DA67E1"/>
    <w:rsid w:val="00DB1649"/>
    <w:rsid w:val="00DB344C"/>
    <w:rsid w:val="00DB4414"/>
    <w:rsid w:val="00DB78DB"/>
    <w:rsid w:val="00DB7AD7"/>
    <w:rsid w:val="00DC1618"/>
    <w:rsid w:val="00DC1AA9"/>
    <w:rsid w:val="00DC27E8"/>
    <w:rsid w:val="00DC3060"/>
    <w:rsid w:val="00DC396D"/>
    <w:rsid w:val="00DC3972"/>
    <w:rsid w:val="00DC5119"/>
    <w:rsid w:val="00DC536D"/>
    <w:rsid w:val="00DC5AE9"/>
    <w:rsid w:val="00DD0955"/>
    <w:rsid w:val="00DD0F84"/>
    <w:rsid w:val="00DD1A68"/>
    <w:rsid w:val="00DD206E"/>
    <w:rsid w:val="00DD4555"/>
    <w:rsid w:val="00DD46A6"/>
    <w:rsid w:val="00DD4F33"/>
    <w:rsid w:val="00DD5A7F"/>
    <w:rsid w:val="00DD7788"/>
    <w:rsid w:val="00DD79FB"/>
    <w:rsid w:val="00DD7A62"/>
    <w:rsid w:val="00DD7DE8"/>
    <w:rsid w:val="00DE0FB2"/>
    <w:rsid w:val="00DE12DF"/>
    <w:rsid w:val="00DE22EB"/>
    <w:rsid w:val="00DE3C37"/>
    <w:rsid w:val="00DE4440"/>
    <w:rsid w:val="00DE5647"/>
    <w:rsid w:val="00DE79E3"/>
    <w:rsid w:val="00DE7FD7"/>
    <w:rsid w:val="00DF04F8"/>
    <w:rsid w:val="00DF06A7"/>
    <w:rsid w:val="00DF093E"/>
    <w:rsid w:val="00DF0E4C"/>
    <w:rsid w:val="00DF18FD"/>
    <w:rsid w:val="00DF1FE7"/>
    <w:rsid w:val="00DF246D"/>
    <w:rsid w:val="00DF4F7F"/>
    <w:rsid w:val="00DF54C9"/>
    <w:rsid w:val="00E00134"/>
    <w:rsid w:val="00E01A64"/>
    <w:rsid w:val="00E01F42"/>
    <w:rsid w:val="00E0540C"/>
    <w:rsid w:val="00E05FF4"/>
    <w:rsid w:val="00E078BF"/>
    <w:rsid w:val="00E10A20"/>
    <w:rsid w:val="00E1114F"/>
    <w:rsid w:val="00E1132F"/>
    <w:rsid w:val="00E117E5"/>
    <w:rsid w:val="00E1239A"/>
    <w:rsid w:val="00E13B6D"/>
    <w:rsid w:val="00E141CC"/>
    <w:rsid w:val="00E144B2"/>
    <w:rsid w:val="00E1478F"/>
    <w:rsid w:val="00E1547D"/>
    <w:rsid w:val="00E1692E"/>
    <w:rsid w:val="00E16E6E"/>
    <w:rsid w:val="00E179FC"/>
    <w:rsid w:val="00E17A50"/>
    <w:rsid w:val="00E2000F"/>
    <w:rsid w:val="00E206D6"/>
    <w:rsid w:val="00E2260D"/>
    <w:rsid w:val="00E22C83"/>
    <w:rsid w:val="00E2330C"/>
    <w:rsid w:val="00E23531"/>
    <w:rsid w:val="00E23ED8"/>
    <w:rsid w:val="00E24F00"/>
    <w:rsid w:val="00E24F49"/>
    <w:rsid w:val="00E2518F"/>
    <w:rsid w:val="00E25D55"/>
    <w:rsid w:val="00E262A8"/>
    <w:rsid w:val="00E2688F"/>
    <w:rsid w:val="00E26C38"/>
    <w:rsid w:val="00E276E3"/>
    <w:rsid w:val="00E3002E"/>
    <w:rsid w:val="00E3052B"/>
    <w:rsid w:val="00E3366E"/>
    <w:rsid w:val="00E339CC"/>
    <w:rsid w:val="00E339D3"/>
    <w:rsid w:val="00E33DB7"/>
    <w:rsid w:val="00E344DF"/>
    <w:rsid w:val="00E354A9"/>
    <w:rsid w:val="00E35CF4"/>
    <w:rsid w:val="00E370E0"/>
    <w:rsid w:val="00E41C2E"/>
    <w:rsid w:val="00E429F1"/>
    <w:rsid w:val="00E42A5A"/>
    <w:rsid w:val="00E443D3"/>
    <w:rsid w:val="00E44691"/>
    <w:rsid w:val="00E44A59"/>
    <w:rsid w:val="00E46EAB"/>
    <w:rsid w:val="00E517F2"/>
    <w:rsid w:val="00E52086"/>
    <w:rsid w:val="00E543A6"/>
    <w:rsid w:val="00E5470A"/>
    <w:rsid w:val="00E54EA0"/>
    <w:rsid w:val="00E56B0F"/>
    <w:rsid w:val="00E60479"/>
    <w:rsid w:val="00E61386"/>
    <w:rsid w:val="00E61D73"/>
    <w:rsid w:val="00E62C0B"/>
    <w:rsid w:val="00E632AA"/>
    <w:rsid w:val="00E634CC"/>
    <w:rsid w:val="00E646C4"/>
    <w:rsid w:val="00E6495E"/>
    <w:rsid w:val="00E6579F"/>
    <w:rsid w:val="00E664D8"/>
    <w:rsid w:val="00E67C2A"/>
    <w:rsid w:val="00E70813"/>
    <w:rsid w:val="00E72E96"/>
    <w:rsid w:val="00E73684"/>
    <w:rsid w:val="00E75778"/>
    <w:rsid w:val="00E758C6"/>
    <w:rsid w:val="00E75ED4"/>
    <w:rsid w:val="00E7601D"/>
    <w:rsid w:val="00E802C5"/>
    <w:rsid w:val="00E80E33"/>
    <w:rsid w:val="00E818D5"/>
    <w:rsid w:val="00E818D6"/>
    <w:rsid w:val="00E8239D"/>
    <w:rsid w:val="00E82627"/>
    <w:rsid w:val="00E83BB9"/>
    <w:rsid w:val="00E84B31"/>
    <w:rsid w:val="00E87F7A"/>
    <w:rsid w:val="00E90871"/>
    <w:rsid w:val="00E90B25"/>
    <w:rsid w:val="00E91EE9"/>
    <w:rsid w:val="00E92027"/>
    <w:rsid w:val="00E92047"/>
    <w:rsid w:val="00E92326"/>
    <w:rsid w:val="00E94032"/>
    <w:rsid w:val="00E94733"/>
    <w:rsid w:val="00E94B3E"/>
    <w:rsid w:val="00E96BD7"/>
    <w:rsid w:val="00EA07BD"/>
    <w:rsid w:val="00EA0DB1"/>
    <w:rsid w:val="00EA0EE9"/>
    <w:rsid w:val="00EA2061"/>
    <w:rsid w:val="00EB1ACA"/>
    <w:rsid w:val="00EB1FD7"/>
    <w:rsid w:val="00EB22E1"/>
    <w:rsid w:val="00EB276F"/>
    <w:rsid w:val="00EB32F0"/>
    <w:rsid w:val="00EB4FEF"/>
    <w:rsid w:val="00EB5C20"/>
    <w:rsid w:val="00EB6B1B"/>
    <w:rsid w:val="00EC0676"/>
    <w:rsid w:val="00EC1127"/>
    <w:rsid w:val="00EC1400"/>
    <w:rsid w:val="00EC3167"/>
    <w:rsid w:val="00EC3E13"/>
    <w:rsid w:val="00EC42DB"/>
    <w:rsid w:val="00EC4F45"/>
    <w:rsid w:val="00EC54B1"/>
    <w:rsid w:val="00EC5979"/>
    <w:rsid w:val="00EC5C64"/>
    <w:rsid w:val="00EC5FBD"/>
    <w:rsid w:val="00EC6E20"/>
    <w:rsid w:val="00EC6E65"/>
    <w:rsid w:val="00EC6EF7"/>
    <w:rsid w:val="00ED1204"/>
    <w:rsid w:val="00ED1374"/>
    <w:rsid w:val="00ED1E53"/>
    <w:rsid w:val="00ED1F3F"/>
    <w:rsid w:val="00ED2902"/>
    <w:rsid w:val="00ED33DE"/>
    <w:rsid w:val="00ED3B5C"/>
    <w:rsid w:val="00ED3E79"/>
    <w:rsid w:val="00ED52CA"/>
    <w:rsid w:val="00ED5860"/>
    <w:rsid w:val="00ED6090"/>
    <w:rsid w:val="00ED6378"/>
    <w:rsid w:val="00ED67D0"/>
    <w:rsid w:val="00ED7687"/>
    <w:rsid w:val="00ED775F"/>
    <w:rsid w:val="00EE0ED3"/>
    <w:rsid w:val="00EE1EF9"/>
    <w:rsid w:val="00EE2F62"/>
    <w:rsid w:val="00EE35C9"/>
    <w:rsid w:val="00EE4BFE"/>
    <w:rsid w:val="00EE55D6"/>
    <w:rsid w:val="00EE6CB7"/>
    <w:rsid w:val="00EE7A6D"/>
    <w:rsid w:val="00EE7B1D"/>
    <w:rsid w:val="00EF0D7D"/>
    <w:rsid w:val="00EF0EA1"/>
    <w:rsid w:val="00EF1F48"/>
    <w:rsid w:val="00EF365B"/>
    <w:rsid w:val="00EF581F"/>
    <w:rsid w:val="00EF700C"/>
    <w:rsid w:val="00EF7870"/>
    <w:rsid w:val="00F010FB"/>
    <w:rsid w:val="00F01FA8"/>
    <w:rsid w:val="00F02D3B"/>
    <w:rsid w:val="00F03B47"/>
    <w:rsid w:val="00F04C37"/>
    <w:rsid w:val="00F04CCF"/>
    <w:rsid w:val="00F051BA"/>
    <w:rsid w:val="00F05ECA"/>
    <w:rsid w:val="00F10743"/>
    <w:rsid w:val="00F12DBC"/>
    <w:rsid w:val="00F1328C"/>
    <w:rsid w:val="00F138DB"/>
    <w:rsid w:val="00F139FB"/>
    <w:rsid w:val="00F14347"/>
    <w:rsid w:val="00F14E29"/>
    <w:rsid w:val="00F17440"/>
    <w:rsid w:val="00F2108F"/>
    <w:rsid w:val="00F21FFC"/>
    <w:rsid w:val="00F2293A"/>
    <w:rsid w:val="00F242E2"/>
    <w:rsid w:val="00F268A2"/>
    <w:rsid w:val="00F26E21"/>
    <w:rsid w:val="00F27CFF"/>
    <w:rsid w:val="00F30F2C"/>
    <w:rsid w:val="00F312E5"/>
    <w:rsid w:val="00F314DB"/>
    <w:rsid w:val="00F31C99"/>
    <w:rsid w:val="00F322D7"/>
    <w:rsid w:val="00F33B4A"/>
    <w:rsid w:val="00F33ECB"/>
    <w:rsid w:val="00F34462"/>
    <w:rsid w:val="00F34AB6"/>
    <w:rsid w:val="00F35406"/>
    <w:rsid w:val="00F3566E"/>
    <w:rsid w:val="00F3581C"/>
    <w:rsid w:val="00F3595E"/>
    <w:rsid w:val="00F361DB"/>
    <w:rsid w:val="00F375FB"/>
    <w:rsid w:val="00F402EF"/>
    <w:rsid w:val="00F40EC8"/>
    <w:rsid w:val="00F41AC1"/>
    <w:rsid w:val="00F42513"/>
    <w:rsid w:val="00F429CE"/>
    <w:rsid w:val="00F429EC"/>
    <w:rsid w:val="00F4367A"/>
    <w:rsid w:val="00F43E73"/>
    <w:rsid w:val="00F445B1"/>
    <w:rsid w:val="00F44697"/>
    <w:rsid w:val="00F457A5"/>
    <w:rsid w:val="00F45CD4"/>
    <w:rsid w:val="00F465B3"/>
    <w:rsid w:val="00F4665A"/>
    <w:rsid w:val="00F46F86"/>
    <w:rsid w:val="00F47C38"/>
    <w:rsid w:val="00F51183"/>
    <w:rsid w:val="00F512D7"/>
    <w:rsid w:val="00F518D8"/>
    <w:rsid w:val="00F524B9"/>
    <w:rsid w:val="00F52518"/>
    <w:rsid w:val="00F527E7"/>
    <w:rsid w:val="00F54201"/>
    <w:rsid w:val="00F56156"/>
    <w:rsid w:val="00F5760C"/>
    <w:rsid w:val="00F60A68"/>
    <w:rsid w:val="00F615F5"/>
    <w:rsid w:val="00F635C3"/>
    <w:rsid w:val="00F63CA2"/>
    <w:rsid w:val="00F65605"/>
    <w:rsid w:val="00F65C63"/>
    <w:rsid w:val="00F66048"/>
    <w:rsid w:val="00F66DCA"/>
    <w:rsid w:val="00F671F3"/>
    <w:rsid w:val="00F678A8"/>
    <w:rsid w:val="00F67E29"/>
    <w:rsid w:val="00F70C79"/>
    <w:rsid w:val="00F70EFE"/>
    <w:rsid w:val="00F717B6"/>
    <w:rsid w:val="00F7258A"/>
    <w:rsid w:val="00F72A54"/>
    <w:rsid w:val="00F7408A"/>
    <w:rsid w:val="00F748E9"/>
    <w:rsid w:val="00F74F53"/>
    <w:rsid w:val="00F7606D"/>
    <w:rsid w:val="00F768F9"/>
    <w:rsid w:val="00F76B7B"/>
    <w:rsid w:val="00F76DEE"/>
    <w:rsid w:val="00F76EC1"/>
    <w:rsid w:val="00F77589"/>
    <w:rsid w:val="00F77FFE"/>
    <w:rsid w:val="00F80F46"/>
    <w:rsid w:val="00F81670"/>
    <w:rsid w:val="00F81ACF"/>
    <w:rsid w:val="00F81ADD"/>
    <w:rsid w:val="00F81E3A"/>
    <w:rsid w:val="00F82024"/>
    <w:rsid w:val="00F83DD1"/>
    <w:rsid w:val="00F84AD1"/>
    <w:rsid w:val="00F84C5F"/>
    <w:rsid w:val="00F864D5"/>
    <w:rsid w:val="00F865A3"/>
    <w:rsid w:val="00F86ADA"/>
    <w:rsid w:val="00F9093D"/>
    <w:rsid w:val="00F9194F"/>
    <w:rsid w:val="00F928C8"/>
    <w:rsid w:val="00F9520D"/>
    <w:rsid w:val="00F952D5"/>
    <w:rsid w:val="00F95BC9"/>
    <w:rsid w:val="00F95F66"/>
    <w:rsid w:val="00F96AE8"/>
    <w:rsid w:val="00F97326"/>
    <w:rsid w:val="00F97507"/>
    <w:rsid w:val="00F979F7"/>
    <w:rsid w:val="00FA2C66"/>
    <w:rsid w:val="00FA51DD"/>
    <w:rsid w:val="00FA5927"/>
    <w:rsid w:val="00FA624C"/>
    <w:rsid w:val="00FA6EC6"/>
    <w:rsid w:val="00FA7359"/>
    <w:rsid w:val="00FB0C8B"/>
    <w:rsid w:val="00FB0EE6"/>
    <w:rsid w:val="00FB13C0"/>
    <w:rsid w:val="00FB140A"/>
    <w:rsid w:val="00FB190F"/>
    <w:rsid w:val="00FB1D2E"/>
    <w:rsid w:val="00FB2F49"/>
    <w:rsid w:val="00FB3B71"/>
    <w:rsid w:val="00FB3FF9"/>
    <w:rsid w:val="00FC0F03"/>
    <w:rsid w:val="00FC11D8"/>
    <w:rsid w:val="00FC1E67"/>
    <w:rsid w:val="00FC2F4F"/>
    <w:rsid w:val="00FC4116"/>
    <w:rsid w:val="00FC5766"/>
    <w:rsid w:val="00FC62B1"/>
    <w:rsid w:val="00FC7C74"/>
    <w:rsid w:val="00FD0F3C"/>
    <w:rsid w:val="00FD0FAC"/>
    <w:rsid w:val="00FD1DFA"/>
    <w:rsid w:val="00FD3264"/>
    <w:rsid w:val="00FD405E"/>
    <w:rsid w:val="00FD4966"/>
    <w:rsid w:val="00FD6B26"/>
    <w:rsid w:val="00FD7EEC"/>
    <w:rsid w:val="00FE09CF"/>
    <w:rsid w:val="00FE0C2A"/>
    <w:rsid w:val="00FE1158"/>
    <w:rsid w:val="00FE123B"/>
    <w:rsid w:val="00FE27F6"/>
    <w:rsid w:val="00FE3212"/>
    <w:rsid w:val="00FE4C33"/>
    <w:rsid w:val="00FE50F2"/>
    <w:rsid w:val="00FE57DC"/>
    <w:rsid w:val="00FE5C7D"/>
    <w:rsid w:val="00FE6EF3"/>
    <w:rsid w:val="00FF095A"/>
    <w:rsid w:val="00FF163C"/>
    <w:rsid w:val="00FF1E67"/>
    <w:rsid w:val="00FF266B"/>
    <w:rsid w:val="00FF478C"/>
    <w:rsid w:val="00FF4DC6"/>
    <w:rsid w:val="00FF595E"/>
    <w:rsid w:val="00FF73AD"/>
    <w:rsid w:val="00FF7845"/>
    <w:rsid w:val="016C67C1"/>
    <w:rsid w:val="0BB4944B"/>
    <w:rsid w:val="13336001"/>
    <w:rsid w:val="152519A4"/>
    <w:rsid w:val="17A09FE7"/>
    <w:rsid w:val="196C69E3"/>
    <w:rsid w:val="1B10AB16"/>
    <w:rsid w:val="1CAC7B77"/>
    <w:rsid w:val="2170BBA0"/>
    <w:rsid w:val="2302949E"/>
    <w:rsid w:val="36E120C6"/>
    <w:rsid w:val="37441C1D"/>
    <w:rsid w:val="40C6B473"/>
    <w:rsid w:val="4181D0FA"/>
    <w:rsid w:val="4192C3EC"/>
    <w:rsid w:val="43D56A35"/>
    <w:rsid w:val="4987860A"/>
    <w:rsid w:val="4D2D9BD8"/>
    <w:rsid w:val="5E712C72"/>
    <w:rsid w:val="6039FD5F"/>
    <w:rsid w:val="61B45AD4"/>
    <w:rsid w:val="648D9BBC"/>
    <w:rsid w:val="6C111038"/>
    <w:rsid w:val="71CAA97A"/>
    <w:rsid w:val="753A921D"/>
    <w:rsid w:val="7959CDF7"/>
    <w:rsid w:val="7ACC4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90539"/>
  <w15:docId w15:val="{505F5982-08D1-4B71-91EB-614FDA63A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BD5"/>
    <w:pPr>
      <w:spacing w:after="120"/>
    </w:pPr>
    <w:rPr>
      <w:color w:val="000000"/>
      <w:sz w:val="24"/>
      <w:szCs w:val="24"/>
    </w:rPr>
  </w:style>
  <w:style w:type="paragraph" w:styleId="Heading1">
    <w:name w:val="heading 1"/>
    <w:aliases w:val="aHeading"/>
    <w:basedOn w:val="Normal"/>
    <w:next w:val="Normal"/>
    <w:link w:val="Heading1Char"/>
    <w:qFormat/>
    <w:rsid w:val="002B6836"/>
    <w:pPr>
      <w:spacing w:before="240"/>
      <w:outlineLvl w:val="0"/>
    </w:pPr>
    <w:rPr>
      <w:b/>
    </w:rPr>
  </w:style>
  <w:style w:type="paragraph" w:styleId="Heading2">
    <w:name w:val="heading 2"/>
    <w:aliases w:val="Sub-heading"/>
    <w:basedOn w:val="Normal"/>
    <w:next w:val="Normal"/>
    <w:qFormat/>
    <w:rsid w:val="00F26E21"/>
    <w:pPr>
      <w:spacing w:before="120"/>
      <w:outlineLvl w:val="1"/>
    </w:pPr>
    <w:rPr>
      <w:u w:val="single"/>
    </w:rPr>
  </w:style>
  <w:style w:type="paragraph" w:styleId="Heading3">
    <w:name w:val="heading 3"/>
    <w:basedOn w:val="Normal"/>
    <w:next w:val="Normal"/>
    <w:link w:val="Heading3Char"/>
    <w:semiHidden/>
    <w:unhideWhenUsed/>
    <w:qFormat/>
    <w:rsid w:val="00B13D85"/>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46A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6BD7"/>
    <w:pPr>
      <w:spacing w:after="120"/>
    </w:pPr>
    <w:rPr>
      <w:color w:val="000000"/>
      <w:sz w:val="24"/>
      <w:szCs w:val="24"/>
      <w:lang w:eastAsia="en-US"/>
    </w:rPr>
  </w:style>
  <w:style w:type="paragraph" w:styleId="ListParagraph">
    <w:name w:val="List Paragraph"/>
    <w:aliases w:val="Kincare bullet"/>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ooterChar">
    <w:name w:val="Footer Char"/>
    <w:aliases w:val="zzFooter Char"/>
    <w:link w:val="Footer"/>
    <w:uiPriority w:val="99"/>
    <w:rsid w:val="004B11AE"/>
    <w:rPr>
      <w:color w:val="000000"/>
      <w:sz w:val="18"/>
      <w:szCs w:val="24"/>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aliases w:val="Kincare bullet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2B6836"/>
    <w:rPr>
      <w:b/>
      <w:color w:val="000000"/>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styleId="TableColumns1">
    <w:name w:val="Table Columns 1"/>
    <w:basedOn w:val="TableNormal"/>
    <w:rsid w:val="00507ECC"/>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4">
    <w:name w:val="Table Classic 4"/>
    <w:basedOn w:val="TableNormal"/>
    <w:rsid w:val="00507ECC"/>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507ECC"/>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507EC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semiHidden/>
    <w:unhideWhenUsed/>
    <w:rsid w:val="003040F5"/>
    <w:rPr>
      <w:color w:val="605E5C"/>
      <w:shd w:val="clear" w:color="auto" w:fill="E1DFDD"/>
    </w:rPr>
  </w:style>
  <w:style w:type="character" w:customStyle="1" w:styleId="normaltextrun">
    <w:name w:val="normaltextrun"/>
    <w:basedOn w:val="DefaultParagraphFont"/>
    <w:rsid w:val="006E3582"/>
  </w:style>
  <w:style w:type="character" w:customStyle="1" w:styleId="eop">
    <w:name w:val="eop"/>
    <w:basedOn w:val="DefaultParagraphFont"/>
    <w:rsid w:val="006E3582"/>
  </w:style>
  <w:style w:type="character" w:styleId="Strong">
    <w:name w:val="Strong"/>
    <w:basedOn w:val="DefaultParagraphFont"/>
    <w:uiPriority w:val="22"/>
    <w:qFormat/>
    <w:rsid w:val="0026180C"/>
    <w:rPr>
      <w:b/>
      <w:bCs/>
    </w:rPr>
  </w:style>
  <w:style w:type="character" w:customStyle="1" w:styleId="Heading3Char">
    <w:name w:val="Heading 3 Char"/>
    <w:basedOn w:val="DefaultParagraphFont"/>
    <w:link w:val="Heading3"/>
    <w:semiHidden/>
    <w:rsid w:val="00B13D8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B05B3"/>
    <w:rPr>
      <w:color w:val="605E5C"/>
      <w:shd w:val="clear" w:color="auto" w:fill="E1DFDD"/>
    </w:rPr>
  </w:style>
  <w:style w:type="character" w:customStyle="1" w:styleId="cf01">
    <w:name w:val="cf01"/>
    <w:basedOn w:val="DefaultParagraphFont"/>
    <w:rsid w:val="00714FCC"/>
    <w:rPr>
      <w:rFonts w:ascii="Segoe UI" w:hAnsi="Segoe UI" w:cs="Segoe UI" w:hint="default"/>
      <w:sz w:val="18"/>
      <w:szCs w:val="18"/>
    </w:rPr>
  </w:style>
  <w:style w:type="character" w:customStyle="1" w:styleId="Heading4Char">
    <w:name w:val="Heading 4 Char"/>
    <w:basedOn w:val="DefaultParagraphFont"/>
    <w:link w:val="Heading4"/>
    <w:semiHidden/>
    <w:rsid w:val="00746A92"/>
    <w:rPr>
      <w:rFonts w:asciiTheme="majorHAnsi" w:eastAsiaTheme="majorEastAsia" w:hAnsiTheme="majorHAnsi" w:cstheme="majorBidi"/>
      <w:i/>
      <w:iCs/>
      <w:color w:val="365F91" w:themeColor="accent1" w:themeShade="BF"/>
      <w:sz w:val="24"/>
      <w:szCs w:val="24"/>
    </w:rPr>
  </w:style>
  <w:style w:type="paragraph" w:styleId="PlainText">
    <w:name w:val="Plain Text"/>
    <w:basedOn w:val="Normal"/>
    <w:link w:val="PlainTextChar"/>
    <w:uiPriority w:val="99"/>
    <w:rsid w:val="0002046A"/>
    <w:pPr>
      <w:spacing w:after="0"/>
    </w:pPr>
    <w:rPr>
      <w:rFonts w:ascii="Courier New" w:hAnsi="Courier New" w:cs="Courier New"/>
      <w:color w:val="auto"/>
      <w:sz w:val="20"/>
      <w:szCs w:val="20"/>
    </w:rPr>
  </w:style>
  <w:style w:type="character" w:customStyle="1" w:styleId="PlainTextChar">
    <w:name w:val="Plain Text Char"/>
    <w:basedOn w:val="DefaultParagraphFont"/>
    <w:link w:val="PlainText"/>
    <w:uiPriority w:val="99"/>
    <w:rsid w:val="0002046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519">
      <w:bodyDiv w:val="1"/>
      <w:marLeft w:val="0"/>
      <w:marRight w:val="0"/>
      <w:marTop w:val="0"/>
      <w:marBottom w:val="0"/>
      <w:divBdr>
        <w:top w:val="none" w:sz="0" w:space="0" w:color="auto"/>
        <w:left w:val="none" w:sz="0" w:space="0" w:color="auto"/>
        <w:bottom w:val="none" w:sz="0" w:space="0" w:color="auto"/>
        <w:right w:val="none" w:sz="0" w:space="0" w:color="auto"/>
      </w:divBdr>
    </w:div>
    <w:div w:id="135219729">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3732285">
      <w:bodyDiv w:val="1"/>
      <w:marLeft w:val="0"/>
      <w:marRight w:val="0"/>
      <w:marTop w:val="0"/>
      <w:marBottom w:val="0"/>
      <w:divBdr>
        <w:top w:val="none" w:sz="0" w:space="0" w:color="auto"/>
        <w:left w:val="none" w:sz="0" w:space="0" w:color="auto"/>
        <w:bottom w:val="none" w:sz="0" w:space="0" w:color="auto"/>
        <w:right w:val="none" w:sz="0" w:space="0" w:color="auto"/>
      </w:divBdr>
    </w:div>
    <w:div w:id="319890041">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32820998">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586689527">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897201464">
      <w:bodyDiv w:val="1"/>
      <w:marLeft w:val="0"/>
      <w:marRight w:val="0"/>
      <w:marTop w:val="0"/>
      <w:marBottom w:val="0"/>
      <w:divBdr>
        <w:top w:val="none" w:sz="0" w:space="0" w:color="auto"/>
        <w:left w:val="none" w:sz="0" w:space="0" w:color="auto"/>
        <w:bottom w:val="none" w:sz="0" w:space="0" w:color="auto"/>
        <w:right w:val="none" w:sz="0" w:space="0" w:color="auto"/>
      </w:divBdr>
    </w:div>
    <w:div w:id="901989954">
      <w:bodyDiv w:val="1"/>
      <w:marLeft w:val="0"/>
      <w:marRight w:val="0"/>
      <w:marTop w:val="0"/>
      <w:marBottom w:val="0"/>
      <w:divBdr>
        <w:top w:val="none" w:sz="0" w:space="0" w:color="auto"/>
        <w:left w:val="none" w:sz="0" w:space="0" w:color="auto"/>
        <w:bottom w:val="none" w:sz="0" w:space="0" w:color="auto"/>
        <w:right w:val="none" w:sz="0" w:space="0" w:color="auto"/>
      </w:divBdr>
    </w:div>
    <w:div w:id="1016806798">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76474812">
      <w:bodyDiv w:val="1"/>
      <w:marLeft w:val="0"/>
      <w:marRight w:val="0"/>
      <w:marTop w:val="0"/>
      <w:marBottom w:val="0"/>
      <w:divBdr>
        <w:top w:val="none" w:sz="0" w:space="0" w:color="auto"/>
        <w:left w:val="none" w:sz="0" w:space="0" w:color="auto"/>
        <w:bottom w:val="none" w:sz="0" w:space="0" w:color="auto"/>
        <w:right w:val="none" w:sz="0" w:space="0" w:color="auto"/>
      </w:divBdr>
    </w:div>
    <w:div w:id="1316059364">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54129367">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79030076">
      <w:bodyDiv w:val="1"/>
      <w:marLeft w:val="0"/>
      <w:marRight w:val="0"/>
      <w:marTop w:val="0"/>
      <w:marBottom w:val="0"/>
      <w:divBdr>
        <w:top w:val="none" w:sz="0" w:space="0" w:color="auto"/>
        <w:left w:val="none" w:sz="0" w:space="0" w:color="auto"/>
        <w:bottom w:val="none" w:sz="0" w:space="0" w:color="auto"/>
        <w:right w:val="none" w:sz="0" w:space="0" w:color="auto"/>
      </w:divBdr>
    </w:div>
    <w:div w:id="1667436620">
      <w:bodyDiv w:val="1"/>
      <w:marLeft w:val="0"/>
      <w:marRight w:val="0"/>
      <w:marTop w:val="0"/>
      <w:marBottom w:val="0"/>
      <w:divBdr>
        <w:top w:val="none" w:sz="0" w:space="0" w:color="auto"/>
        <w:left w:val="none" w:sz="0" w:space="0" w:color="auto"/>
        <w:bottom w:val="none" w:sz="0" w:space="0" w:color="auto"/>
        <w:right w:val="none" w:sz="0" w:space="0" w:color="auto"/>
      </w:divBdr>
    </w:div>
    <w:div w:id="1687753738">
      <w:bodyDiv w:val="1"/>
      <w:marLeft w:val="0"/>
      <w:marRight w:val="0"/>
      <w:marTop w:val="0"/>
      <w:marBottom w:val="0"/>
      <w:divBdr>
        <w:top w:val="none" w:sz="0" w:space="0" w:color="auto"/>
        <w:left w:val="none" w:sz="0" w:space="0" w:color="auto"/>
        <w:bottom w:val="none" w:sz="0" w:space="0" w:color="auto"/>
        <w:right w:val="none" w:sz="0" w:space="0" w:color="auto"/>
      </w:divBdr>
    </w:div>
    <w:div w:id="1688557208">
      <w:bodyDiv w:val="1"/>
      <w:marLeft w:val="0"/>
      <w:marRight w:val="0"/>
      <w:marTop w:val="0"/>
      <w:marBottom w:val="0"/>
      <w:divBdr>
        <w:top w:val="none" w:sz="0" w:space="0" w:color="auto"/>
        <w:left w:val="none" w:sz="0" w:space="0" w:color="auto"/>
        <w:bottom w:val="none" w:sz="0" w:space="0" w:color="auto"/>
        <w:right w:val="none" w:sz="0" w:space="0" w:color="auto"/>
      </w:divBdr>
    </w:div>
    <w:div w:id="1761753051">
      <w:bodyDiv w:val="1"/>
      <w:marLeft w:val="0"/>
      <w:marRight w:val="0"/>
      <w:marTop w:val="0"/>
      <w:marBottom w:val="0"/>
      <w:divBdr>
        <w:top w:val="none" w:sz="0" w:space="0" w:color="auto"/>
        <w:left w:val="none" w:sz="0" w:space="0" w:color="auto"/>
        <w:bottom w:val="none" w:sz="0" w:space="0" w:color="auto"/>
        <w:right w:val="none" w:sz="0" w:space="0" w:color="auto"/>
      </w:divBdr>
    </w:div>
    <w:div w:id="1775324959">
      <w:bodyDiv w:val="1"/>
      <w:marLeft w:val="0"/>
      <w:marRight w:val="0"/>
      <w:marTop w:val="0"/>
      <w:marBottom w:val="0"/>
      <w:divBdr>
        <w:top w:val="none" w:sz="0" w:space="0" w:color="auto"/>
        <w:left w:val="none" w:sz="0" w:space="0" w:color="auto"/>
        <w:bottom w:val="none" w:sz="0" w:space="0" w:color="auto"/>
        <w:right w:val="none" w:sz="0" w:space="0" w:color="auto"/>
      </w:divBdr>
    </w:div>
    <w:div w:id="1892229548">
      <w:bodyDiv w:val="1"/>
      <w:marLeft w:val="0"/>
      <w:marRight w:val="0"/>
      <w:marTop w:val="0"/>
      <w:marBottom w:val="0"/>
      <w:divBdr>
        <w:top w:val="none" w:sz="0" w:space="0" w:color="auto"/>
        <w:left w:val="none" w:sz="0" w:space="0" w:color="auto"/>
        <w:bottom w:val="none" w:sz="0" w:space="0" w:color="auto"/>
        <w:right w:val="none" w:sz="0" w:space="0" w:color="auto"/>
      </w:divBdr>
    </w:div>
    <w:div w:id="1947347727">
      <w:bodyDiv w:val="1"/>
      <w:marLeft w:val="0"/>
      <w:marRight w:val="0"/>
      <w:marTop w:val="0"/>
      <w:marBottom w:val="0"/>
      <w:divBdr>
        <w:top w:val="none" w:sz="0" w:space="0" w:color="auto"/>
        <w:left w:val="none" w:sz="0" w:space="0" w:color="auto"/>
        <w:bottom w:val="none" w:sz="0" w:space="0" w:color="auto"/>
        <w:right w:val="none" w:sz="0" w:space="0" w:color="auto"/>
      </w:divBdr>
    </w:div>
    <w:div w:id="19665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atthew@oxford.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57F275328F143ABAD057DEF4168B9" ma:contentTypeVersion="17" ma:contentTypeDescription="Create a new document." ma:contentTypeScope="" ma:versionID="8e7fb558e2ac78cebf63f34050e62cc8">
  <xsd:schema xmlns:xsd="http://www.w3.org/2001/XMLSchema" xmlns:xs="http://www.w3.org/2001/XMLSchema" xmlns:p="http://schemas.microsoft.com/office/2006/metadata/properties" xmlns:ns3="bcf5d88a-ad6e-4375-b221-97c5d01bcb31" xmlns:ns4="223e6c29-d5f3-4516-beb4-0734cda70316" targetNamespace="http://schemas.microsoft.com/office/2006/metadata/properties" ma:root="true" ma:fieldsID="1d5b3226a19c4df0784bc546349d5e6c" ns3:_="" ns4:_="">
    <xsd:import namespace="bcf5d88a-ad6e-4375-b221-97c5d01bcb31"/>
    <xsd:import namespace="223e6c29-d5f3-4516-beb4-0734cda703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5d88a-ad6e-4375-b221-97c5d01bcb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e6c29-d5f3-4516-beb4-0734cda703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bcf5d88a-ad6e-4375-b221-97c5d01bcb31">
      <UserInfo>
        <DisplayName>BISHOP Helen</DisplayName>
        <AccountId>9</AccountId>
        <AccountType/>
      </UserInfo>
      <UserInfo>
        <DisplayName>LEWISMAN Hagan</DisplayName>
        <AccountId>15</AccountId>
        <AccountType/>
      </UserInfo>
      <UserInfo>
        <DisplayName>HOOK Tom</DisplayName>
        <AccountId>16</AccountId>
        <AccountType/>
      </UserInfo>
      <UserInfo>
        <DisplayName>MATTHEW Peter</DisplayName>
        <AccountId>17</AccountId>
        <AccountType/>
      </UserInfo>
      <UserInfo>
        <DisplayName>REDWAY Paula</DisplayName>
        <AccountId>18</AccountId>
        <AccountType/>
      </UserInfo>
      <UserInfo>
        <DisplayName>GALVIN Vicki</DisplayName>
        <AccountId>20</AccountId>
        <AccountType/>
      </UserInfo>
    </SharedWithUsers>
    <_activity xmlns="223e6c29-d5f3-4516-beb4-0734cda70316" xsi:nil="true"/>
  </documentManagement>
</p:properties>
</file>

<file path=customXml/itemProps1.xml><?xml version="1.0" encoding="utf-8"?>
<ds:datastoreItem xmlns:ds="http://schemas.openxmlformats.org/officeDocument/2006/customXml" ds:itemID="{29EDC524-4408-4930-89E4-9C3AA07FF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5d88a-ad6e-4375-b221-97c5d01bcb31"/>
    <ds:schemaRef ds:uri="223e6c29-d5f3-4516-beb4-0734cda70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CEBDF-3A1E-4D76-BCF4-6DD491479C9F}">
  <ds:schemaRefs>
    <ds:schemaRef ds:uri="http://schemas.microsoft.com/sharepoint/v3/contenttype/forms"/>
  </ds:schemaRefs>
</ds:datastoreItem>
</file>

<file path=customXml/itemProps3.xml><?xml version="1.0" encoding="utf-8"?>
<ds:datastoreItem xmlns:ds="http://schemas.openxmlformats.org/officeDocument/2006/customXml" ds:itemID="{FC8EAED4-C11E-4937-8AF7-7C9935277826}">
  <ds:schemaRefs>
    <ds:schemaRef ds:uri="http://schemas.openxmlformats.org/officeDocument/2006/bibliography"/>
  </ds:schemaRefs>
</ds:datastoreItem>
</file>

<file path=customXml/itemProps4.xml><?xml version="1.0" encoding="utf-8"?>
<ds:datastoreItem xmlns:ds="http://schemas.openxmlformats.org/officeDocument/2006/customXml" ds:itemID="{2D8C17C4-9508-4854-AF87-074B9DFE8D91}">
  <ds:schemaRefs>
    <ds:schemaRef ds:uri="http://schemas.microsoft.com/office/2006/metadata/properties"/>
    <ds:schemaRef ds:uri="http://schemas.microsoft.com/office/infopath/2007/PartnerControls"/>
    <ds:schemaRef ds:uri="bcf5d88a-ad6e-4375-b221-97c5d01bcb31"/>
    <ds:schemaRef ds:uri="223e6c29-d5f3-4516-beb4-0734cda7031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3117</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OxCityCouncil Cabinet report</vt:lpstr>
    </vt:vector>
  </TitlesOfParts>
  <Company>Oxford City Council</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OxCityCouncil Cabinet report</dc:title>
  <dc:subject/>
  <dc:creator>DEBARRY Lourdes</dc:creator>
  <cp:keywords>OxCityCouncil Report</cp:keywords>
  <dc:description/>
  <cp:lastModifiedBy>REYESLAO Celeste</cp:lastModifiedBy>
  <cp:revision>5</cp:revision>
  <cp:lastPrinted>2015-07-03T13:50:00Z</cp:lastPrinted>
  <dcterms:created xsi:type="dcterms:W3CDTF">2024-11-15T10:32:00Z</dcterms:created>
  <dcterms:modified xsi:type="dcterms:W3CDTF">2024-11-19T18:03:00Z</dcterms:modified>
  <cp:category>Report to Council or Committee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0x01010026657F275328F143ABAD057DEF4168B9</vt:lpwstr>
  </property>
</Properties>
</file>